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1391ds1.htm"/>
        <w:bookmarkStart w:id="1" w:name="ksd121391ds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July 31,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FORM S-1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VivoSim Labs,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27-1488943</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VivoSim Labs, Inc. </w:t>
      </w:r>
    </w:p>
    <w:p>
      <w:pPr>
        <w:pStyle w:val="TextBody"/>
        <w:bidi w:val="0"/>
        <w:spacing w:before="0" w:after="0"/>
        <w:jc w:val="center"/>
        <w:rPr>
          <w:rFonts w:ascii="Times New Roman" w:hAnsi="Times New Roman"/>
          <w:b/>
          <w:sz w:val="17"/>
        </w:rPr>
      </w:pPr>
      <w:r>
        <w:rPr>
          <w:rFonts w:ascii="Times New Roman" w:hAnsi="Times New Roman"/>
          <w:b/>
          <w:sz w:val="17"/>
        </w:rPr>
        <w:t xml:space="preserve">11555 Sorrento Valley Road, Suite 100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92121 </w:t>
      </w:r>
    </w:p>
    <w:p>
      <w:pPr>
        <w:pStyle w:val="TextBody"/>
        <w:bidi w:val="0"/>
        <w:spacing w:before="0" w:after="0"/>
        <w:jc w:val="center"/>
        <w:rPr>
          <w:rFonts w:ascii="Times New Roman" w:hAnsi="Times New Roman"/>
          <w:b/>
          <w:sz w:val="17"/>
        </w:rPr>
      </w:pPr>
      <w:r>
        <w:rPr>
          <w:rFonts w:ascii="Times New Roman" w:hAnsi="Times New Roman"/>
          <w:b/>
          <w:sz w:val="17"/>
        </w:rPr>
        <w:t xml:space="preserve">(858) 224-1000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7"/>
        </w:rPr>
      </w:pPr>
      <w:r>
        <w:rPr>
          <w:rFonts w:ascii="Times New Roman" w:hAnsi="Times New Roman"/>
          <w:b/>
          <w:sz w:val="17"/>
        </w:rPr>
        <w:t xml:space="preserve">Keith Murphy </w:t>
      </w:r>
    </w:p>
    <w:p>
      <w:pPr>
        <w:pStyle w:val="TextBody"/>
        <w:bidi w:val="0"/>
        <w:spacing w:before="0" w:after="0"/>
        <w:jc w:val="center"/>
        <w:rPr>
          <w:rFonts w:ascii="Times New Roman" w:hAnsi="Times New Roman"/>
          <w:b/>
          <w:sz w:val="17"/>
        </w:rPr>
      </w:pPr>
      <w:r>
        <w:rPr>
          <w:rFonts w:ascii="Times New Roman" w:hAnsi="Times New Roman"/>
          <w:b/>
          <w:sz w:val="17"/>
        </w:rPr>
        <w:t xml:space="preserve">Executive Chairman </w:t>
      </w:r>
    </w:p>
    <w:p>
      <w:pPr>
        <w:pStyle w:val="TextBody"/>
        <w:bidi w:val="0"/>
        <w:spacing w:before="0" w:after="0"/>
        <w:jc w:val="center"/>
        <w:rPr>
          <w:rFonts w:ascii="Times New Roman" w:hAnsi="Times New Roman"/>
          <w:b/>
          <w:sz w:val="17"/>
        </w:rPr>
      </w:pPr>
      <w:r>
        <w:rPr>
          <w:rFonts w:ascii="Times New Roman" w:hAnsi="Times New Roman"/>
          <w:b/>
          <w:sz w:val="17"/>
        </w:rPr>
        <w:t xml:space="preserve">VivoSim Labs, Inc. </w:t>
      </w:r>
    </w:p>
    <w:p>
      <w:pPr>
        <w:pStyle w:val="TextBody"/>
        <w:bidi w:val="0"/>
        <w:spacing w:before="0" w:after="0"/>
        <w:jc w:val="center"/>
        <w:rPr>
          <w:rFonts w:ascii="Times New Roman" w:hAnsi="Times New Roman"/>
          <w:b/>
          <w:sz w:val="17"/>
        </w:rPr>
      </w:pPr>
      <w:r>
        <w:rPr>
          <w:rFonts w:ascii="Times New Roman" w:hAnsi="Times New Roman"/>
          <w:b/>
          <w:sz w:val="17"/>
        </w:rPr>
        <w:t xml:space="preserve">11555 Sorrento Valley Road, Suite 100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92121 </w:t>
      </w:r>
    </w:p>
    <w:p>
      <w:pPr>
        <w:pStyle w:val="TextBody"/>
        <w:bidi w:val="0"/>
        <w:spacing w:before="0" w:after="0"/>
        <w:jc w:val="center"/>
        <w:rPr>
          <w:rFonts w:ascii="Times New Roman" w:hAnsi="Times New Roman"/>
          <w:b/>
          <w:sz w:val="17"/>
        </w:rPr>
      </w:pPr>
      <w:r>
        <w:rPr>
          <w:rFonts w:ascii="Times New Roman" w:hAnsi="Times New Roman"/>
          <w:b/>
          <w:sz w:val="17"/>
        </w:rPr>
        <w:t xml:space="preserve">(858) 224-1000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80" w:after="0"/>
        <w:jc w:val="center"/>
        <w:rPr>
          <w:rFonts w:ascii="Times New Roman" w:hAnsi="Times New Roman"/>
          <w:b/>
          <w:sz w:val="17"/>
        </w:rPr>
      </w:pPr>
      <w:r>
        <w:rPr>
          <w:rFonts w:ascii="Times New Roman" w:hAnsi="Times New Roman"/>
          <w:b/>
          <w:sz w:val="17"/>
        </w:rPr>
        <w:t xml:space="preserve">Jeffrey T. Hartlin, Esq. </w:t>
      </w:r>
    </w:p>
    <w:p>
      <w:pPr>
        <w:pStyle w:val="TextBody"/>
        <w:bidi w:val="0"/>
        <w:spacing w:before="0" w:after="0"/>
        <w:jc w:val="center"/>
        <w:rPr>
          <w:rFonts w:ascii="Times New Roman" w:hAnsi="Times New Roman"/>
          <w:b/>
          <w:sz w:val="17"/>
        </w:rPr>
      </w:pPr>
      <w:r>
        <w:rPr>
          <w:rFonts w:ascii="Times New Roman" w:hAnsi="Times New Roman"/>
          <w:b/>
          <w:sz w:val="17"/>
        </w:rPr>
        <w:t xml:space="preserve">Samantha H. Eldredge, Esq. </w:t>
      </w:r>
    </w:p>
    <w:p>
      <w:pPr>
        <w:pStyle w:val="TextBody"/>
        <w:bidi w:val="0"/>
        <w:spacing w:before="0" w:after="0"/>
        <w:jc w:val="center"/>
        <w:rPr>
          <w:rFonts w:ascii="Times New Roman" w:hAnsi="Times New Roman"/>
          <w:b/>
          <w:sz w:val="17"/>
        </w:rPr>
      </w:pPr>
      <w:r>
        <w:rPr>
          <w:rFonts w:ascii="Times New Roman" w:hAnsi="Times New Roman"/>
          <w:b/>
          <w:sz w:val="17"/>
        </w:rPr>
        <w:t xml:space="preserve">Paul Hastings LLP </w:t>
      </w:r>
    </w:p>
    <w:p>
      <w:pPr>
        <w:pStyle w:val="TextBody"/>
        <w:bidi w:val="0"/>
        <w:spacing w:before="0" w:after="0"/>
        <w:jc w:val="center"/>
        <w:rPr>
          <w:rFonts w:ascii="Times New Roman" w:hAnsi="Times New Roman"/>
          <w:b/>
          <w:sz w:val="17"/>
        </w:rPr>
      </w:pPr>
      <w:r>
        <w:rPr>
          <w:rFonts w:ascii="Times New Roman" w:hAnsi="Times New Roman"/>
          <w:b/>
          <w:sz w:val="17"/>
        </w:rPr>
        <w:t xml:space="preserve">1117 S. California Avenue </w:t>
      </w:r>
    </w:p>
    <w:p>
      <w:pPr>
        <w:pStyle w:val="TextBody"/>
        <w:bidi w:val="0"/>
        <w:spacing w:before="0" w:after="0"/>
        <w:jc w:val="center"/>
        <w:rPr>
          <w:rFonts w:ascii="Times New Roman" w:hAnsi="Times New Roman"/>
          <w:b/>
          <w:sz w:val="17"/>
        </w:rPr>
      </w:pPr>
      <w:r>
        <w:rPr>
          <w:rFonts w:ascii="Times New Roman" w:hAnsi="Times New Roman"/>
          <w:b/>
          <w:sz w:val="17"/>
        </w:rPr>
        <w:t xml:space="preserve">Palo Alto, California 94304 </w:t>
      </w:r>
    </w:p>
    <w:p>
      <w:pPr>
        <w:pStyle w:val="TextBody"/>
        <w:bidi w:val="0"/>
        <w:spacing w:before="0" w:after="0"/>
        <w:jc w:val="center"/>
        <w:rPr>
          <w:rFonts w:ascii="Times New Roman" w:hAnsi="Times New Roman"/>
          <w:b/>
          <w:sz w:val="17"/>
        </w:rPr>
      </w:pPr>
      <w:r>
        <w:rPr>
          <w:rFonts w:ascii="Times New Roman" w:hAnsi="Times New Roman"/>
          <w:b/>
          <w:sz w:val="17"/>
        </w:rPr>
        <w:t xml:space="preserve">(650) 320-1800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Approximate date of commencement of proposed sale to the public</w:t>
      </w:r>
      <w:r>
        <w:rPr>
          <w:rFonts w:ascii="Times New Roman" w:hAnsi="Times New Roman"/>
          <w:sz w:val="17"/>
        </w:rPr>
        <w:t xml:space="preserve">: As soon as practicable after this registration statement becomes effective.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6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31,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1621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64770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8"/>
        </w:rPr>
      </w:pPr>
      <w:r>
        <w:rPr>
          <w:rFonts w:ascii="Times New Roman" w:hAnsi="Times New Roman"/>
          <w:b/>
          <w:sz w:val="48"/>
        </w:rPr>
        <w:t xml:space="preserve">VivoSim Labs,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Up to 4,705,883 Shares of Common Stock Underlying the Pre-Funded Warrants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Up to 4,705,883 Shares of Common Stock Underlying the Common 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This prospectus relates to the resale by the investor listed in the section of this prospectus entitled “Selling Stockholder” (the “Selling Stockholder”) of up to 9,411,766 shares of our common stock, par value $0.001 per share (the “Common Stock”), which consist of: (i) 4,705,883 shares of Common Stock (the “Pre-Funded Warrant Shares”) issuable upon the exercise of those certain pre-funded warrants (the “Pre-Funded Warrants”) to purchase Common Stock issued on July 17, 2026 to the Selling Stockholder pursuant to that certain Securities Purchase Agreement, dated as of July 16, 2026, by and between us and the Selling Stockholder (the “Securities Purchase Agreement”), and (ii) 4,705,883 shares of Common Stock (the “Common Warrant Shares” and, together with the Pre-Funded Warrant Shares, the “Warrant Shares”) issuable upon the exercise of those certain warrants to purchase Common Stock issued to the Selling Stockholder on July 17, 2026 pursuant to the Securities Purchase Agreement (the “Common Warrants” and, together with the Pre-Funded Warrants, the “Warrants”). We are registering the resale of the Warrant Shares as required by the Securities Purchase Agreement.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Our registration of the Warrant Shares covered by this prospectus does not mean that the Selling Stockholder will offer or sell any of the Warrant Shares. The Selling Stockholder may sell the Warrant Shares covered by this prospectus in a number of different ways and at varying prices. For additional information on the possible methods of sale that may be used by the Selling Stockholder, you should refer to the section of this prospectus entitled “Plan of Distribution” beginning on page 11 of this prospectus. We will not receive any of the proceeds from the Warrant Shares sold by the Selling Stockholder, other than any proceeds from any cash exercise of the Warrants.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No underwriter or other person has been engaged to facilitate the sale of the Warrant Shares in this offering. The Selling Stockholder may, individually but not severally, be deemed to be an “underwriter” within the meaning of the Securities Act of 1933, as amended (the “Securities Act”), of the Warrant Shares that they are offering pursuant to this prospectus. We will bear all costs, expenses and fees in connection with the registration of the Warrant Shares. The Selling Stockholder will bear all commissions and discounts, if any, attributable to their respective sales of the Warrant Shares.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symbol “VIVS”. On July 30, 2026, the last reported sales price per share of our Common Stock was $$0.386.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this prospectus, together with additional information described under the headings “Incorporation of Certain Information by Reference” and “Where You Can Find Additional Information”, and any amendments or supplements carefully before you invest in any of our securities.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our Common Stock involves substantial risk. You should review carefully the risks and uncertainties described under the heading “</w:t>
      </w:r>
      <w:hyperlink w:anchor="tx121391_6">
        <w:r>
          <w:rPr>
            <w:rStyle w:val="InternetLink"/>
            <w:rFonts w:ascii="Times New Roman" w:hAnsi="Times New Roman"/>
            <w:b/>
            <w:sz w:val="24"/>
          </w:rPr>
          <w:t>Risk Factors</w:t>
        </w:r>
      </w:hyperlink>
      <w:r>
        <w:rPr>
          <w:rFonts w:ascii="Times New Roman" w:hAnsi="Times New Roman"/>
          <w:b/>
          <w:sz w:val="24"/>
        </w:rPr>
        <w:t xml:space="preserve">“ beginning on page 6 of this prospectus.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other regulatory body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x121391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2">
              <w:r>
                <w:rPr>
                  <w:rStyle w:val="InternetLink"/>
                  <w:rFonts w:ascii="Times New Roman" w:hAnsi="Times New Roman"/>
                  <w:sz w:val="20"/>
                </w:rPr>
                <w:t>Disclosure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3">
              <w:r>
                <w:rPr>
                  <w:rStyle w:val="InternetLink"/>
                  <w:rFonts w:ascii="Times New Roman" w:hAnsi="Times New Roman"/>
                  <w:sz w:val="20"/>
                </w:rPr>
                <w:t>Industry and Market Data</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4">
              <w:r>
                <w:rPr>
                  <w:rStyle w:val="InternetLink"/>
                  <w:rFonts w:ascii="Times New Roman" w:hAnsi="Times New Roman"/>
                  <w:sz w:val="20"/>
                </w:rPr>
                <w:t>Trademarks, Service Marks and Trade Names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5">
              <w:r>
                <w:rPr>
                  <w:rStyle w:val="InternetLink"/>
                  <w:rFonts w:ascii="Times New Roman" w:hAnsi="Times New Roman"/>
                  <w:sz w:val="20"/>
                </w:rPr>
                <w:t>Prospectus Summary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6">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7">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8">
              <w:r>
                <w:rPr>
                  <w:rStyle w:val="InternetLink"/>
                  <w:rFonts w:ascii="Times New Roman" w:hAnsi="Times New Roman"/>
                  <w:sz w:val="20"/>
                </w:rPr>
                <w:t>Selling Stockholder</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9">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0">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1">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2">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3">
              <w:r>
                <w:rPr>
                  <w:rStyle w:val="InternetLink"/>
                  <w:rFonts w:ascii="Times New Roman" w:hAnsi="Times New Roman"/>
                  <w:sz w:val="20"/>
                </w:rPr>
                <w:t>Where You Can Find Additional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4">
              <w:r>
                <w:rPr>
                  <w:rStyle w:val="InternetLink"/>
                  <w:rFonts w:ascii="Times New Roman" w:hAnsi="Times New Roman"/>
                  <w:sz w:val="20"/>
                </w:rPr>
                <w:t>Disclosure of Commission Position on Indemnification for Securities Act Liabilities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21391_15">
              <w:r>
                <w:rPr>
                  <w:rStyle w:val="InternetLink"/>
                  <w:rFonts w:ascii="Times New Roman" w:hAnsi="Times New Roman"/>
                  <w:sz w:val="20"/>
                </w:rPr>
                <w:t>Incorporation of Certain Information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21391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we have provided in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Warrant Shares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regardless of the time of delivery of this prospectus or any sale of a security.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offering the Warrant Shares only in jurisdictions where such issuances are permitted. The distribution of this prospectus and the issuance of the Warrant Shares in certain jurisdictions may be restricted by law. Persons outside the United States who come into possession of this prospectus must inform themselves about, and observe any restrictions relating to, the issuance of the Warrant Shares and the distribution of this prospectus outside the United States. This prospectus does not constitute, and may not be used in connection with, an offer to sell, or a solicitation of an offer to buy, the Warrant Shares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under which the Selling Stockholder may offer from time to time up to an aggregate of 9,411,766 shares of our Common Stock in one or more offerings. If required, each time a Selling Stockholder offers shares of our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This prospectus, together with any applicable prospectus supplements and any related free writing prospectuses,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21391_2"/>
      <w:bookmarkEnd w:id="4"/>
      <w:r>
        <w:rPr>
          <w:rFonts w:ascii="Times New Roman" w:hAnsi="Times New Roman"/>
          <w:b/>
          <w:sz w:val="20"/>
        </w:rPr>
        <w:t xml:space="preserve">DISCLOSURE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in this prospectus may contain forward-looking statements within the meaning of Section 27A of the Securities Act and Section 21E of the Securities Exchange Act of 1934, as amended (the “Exchange Act”), about VivoSim Labs, Inc.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VivoSim Labs, Inc. We caution our stockholders and other readers not to place undue reliance on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described in the “Risk Factors” section beginning on page 6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and the documents incorporated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21391_3"/>
      <w:bookmarkEnd w:id="5"/>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contain statistical data, estimates and forecasts that are based on various sources, including independent industry publications or other publicly available information, as well as other information based on our internal sources. This information involves a number of assumptions and limitations, and you are cautioned not to give undue weight to these estimates. The industry in which we operate is subject to a high degree of uncertainty and risk due to a variety of factors, including those described in the section titled “Risk Factors,” that could cause results to differ materially from those expressed in these publications and reports.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in this prospectus and the information incorporated by reference herein is derived from independent industry publications and publicly available reports. We believe the data contained in these reports to be reliable as of the date of this prospectus, but there can be no assurance as to the accuracy or completeness of such information. We have not independently verified the market and industry data obtained from these third-party sources. Our internal data and estimates are based upon information obtained from trade and business organizations, other contacts in the markets in which we operate and our management’s understanding of industry conditions. Though we believe this information to be true and accurate, such information has not been verified by any independent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21391_4"/>
      <w:bookmarkEnd w:id="6"/>
      <w:r>
        <w:rPr>
          <w:rFonts w:ascii="Times New Roman" w:hAnsi="Times New Roman"/>
          <w:b/>
          <w:sz w:val="20"/>
        </w:rPr>
        <w:t xml:space="preserve">TRADEMARKS, SERVICE 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We own the trademarks, service marks and trade names that we use in connection with the operation of our business, including our corporate names, logos and website names. This prospectus and the information incorporated by reference herein may also contain trademarks, service marks, trade names and copyrights of other companies, which are the property of their respective owners. Solely for convenience, the trademarks, service marks, trade names and copyrights referred to in this prospectus are listed without the TM, SM, © and ® symbols, but we will assert, to the fullest extent under applicable law, our rights or the rights of the applicable licensors, if any, to these trademarks, service marks, trade names and copyrights.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121391_5"/>
      <w:bookmarkEnd w:id="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This summary does not contain all of the information you should consider before investing in our securities. You should read this entire prospectus carefully, including the sections of this prospectus titled “Risk Factors,” and “Disclosure Regarding Forward-Looking Statements” and under similar captions in the documents incorporated by reference into this prospectus, before making an investment decision. Unless otherwise indicated, all references in this prospectus to “VivoSim,” the “company,” “we,” “our,” “us” or similar terms refer to VivoSim Labs, Inc. and its wholly owned subsidiaries, including VivoSim, Inc. and Organovo,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March 2025, we were a clinical stage biotechnology company that was focused on developing FXR314 in inflammatory bowel disease (“IBD”), including ulcerative colitis (“UC”), based on demonstration of clinical promise in 3D human tissues as well as strong preclinical data. Our clinical focus was in advancing FXR314 in IBD, including UC and Crohn’s disease (“CD”). We planned to start a Phase 2a clinical trial in UC in the calendar year 2025 and were also exploring the potential for combination therapies using FXR314 and approved mechanisms in preclinical animal studies and our IBD disease models.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 In July 2026, we received a milestone payment in the amount of $5.0 million upon the achievement of a certain development milestone related to FXR314.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April 24, 2025, we changed our corporate name to VivoSim Labs, Inc. by filing a Certificate of Amendment to our Certificate of Incorporation (as amended, the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now offering liver toxicology predictive screening and research services as well as working on predicting and studying the intestinal side effect profiles of drugs that are therapeutic candidates of pharmaceutical and biotech companies at all stages of drug development.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under the name Organovo Holdings, Inc. in January 2012 and in April 2025, changed our name to VivoSim Labs, Inc. We are operating the business of our subsidiaries, including Organovo, Inc., our wholly-owned subsidiary, which we acquired in February 2012, and VivoSim, Inc., our wholly-owned subsidiary. Organovo, Inc. was incorporated in Delaware in April 2007. VivoSim, Inc. was incorporated in Delaware in April 2025. Our Common Stock has traded on the Nasdaq Capital Market under the symbol “VIVS” since April 24, 2025. Prior to that time, it had traded on the Nasdaq Capital Market under the symbol “ONVO” since December 27, 2019, prior to that it had traded on the Nasdaq Global Market under the symbol “ONVO” since August 8, 2016 and prior to that it traded on the NYSE MKT under the symbol “ONVO”.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11555 Sorrento Valley Road, Suite 100, San Diego, CA 92121, and our telephone number is (858) 224-1000. Our website address is www.vivosim.ai.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of the Exchange Act, and have elected to take advantage of certain of the scaled disclosure available for smaller reporting companies in this prospectus as well as our filings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21391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an investment decision, you should carefully consider the risks described below or under “Risk Factors” in our most recent Annual Report on Form 10-K, together with all of the other information appearing in or incorporated by reference into this prospectus, before deciding whether to purchase any of the Common Stock being offered in this prospectus. Our business, financial condition or results of operations could be materially adversely affected by any of these risks.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21391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the sale of the Warrant Shares by the Selling Stockholder. We may, however, receive cash proceeds equal to the total exercise price of the Warrants to the extent any of such Warrants are exercised for cash. The exercise price of the Common Warrants is $0.85 per share of Common Stock. The exercise price and the number of shares of Common Stock issuable upon exercise of the Warrants may be adjusted in certain circumstances, including stock splits, dividends or distributions, or other similar transactions. The Warrants contain a “cashless exercise” feature that allows the holders to exercise any of such Warrants without making a cash payment to us (and, in the case of Common Warrants, if there is not an effective registration statement registering or the prospectus contained therein is not available for the issuance of the Common Warrant Shares to the holders). There can be no assurance that any of the Warrants will be exercised by the Selling Stockholder at all. To the extent we receive proceeds from the cash exercise of the Common Warrants, we intend to use such proceeds for working capital and general corporate purposes. Our management will retain broad discretion in the allocation of the net proceeds from any exercise of the Common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pay any underwriting discounts, selling commissions or transfer taxes incurred in disposing of the Warrant Shares and the expenses of any attorney or other advisor they decide to employ. We will bear all other costs, fees and expenses incurred in effecting the registration of the Warrant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21391_8"/>
      <w:bookmarkEnd w:id="1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as used in this prospectus, “Selling Stockholder” includes the selling stockholder listed below and donees, pledgees, transferees or other successors-in-interest selling shares received after the date of this prospectus from the selling stockholder as a gift, pledge or other non-sale related transfer.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Securities Purchase Agreement, we issued (i) Pre-Funded Warrants to purchase up to an aggregate of 4,705,883 shares of Common Stock and (ii) accompanying Common Warrants to purchase up to an aggregate of 4,705,883 shares of Common Stock. We have prepared this prospectus to allow the Selling Stockholder or their successors, assignees or other permitted transferees to sell or otherwise dispose of, from time to time, the Warrant Shares issuable upon the exercise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exercisable immediately upon issuance, will survive until they are exercised in full and have an exercise price of $0.001 per share of Common Stock, subject to adjustment for stock splits, reverse stock splits, stock dividends and similar transactions. The Pre-Funded Warrants are exercisable on a cash or cashless exercise basis. </w:t>
      </w:r>
    </w:p>
    <w:p>
      <w:pPr>
        <w:pStyle w:val="TextBody"/>
        <w:bidi w:val="0"/>
        <w:spacing w:before="240" w:after="0"/>
        <w:jc w:val="left"/>
        <w:rPr>
          <w:rFonts w:ascii="Times New Roman" w:hAnsi="Times New Roman"/>
          <w:sz w:val="20"/>
        </w:rPr>
      </w:pPr>
      <w:r>
        <w:rPr>
          <w:rFonts w:ascii="Times New Roman" w:hAnsi="Times New Roman"/>
          <w:sz w:val="20"/>
        </w:rPr>
        <w:t xml:space="preserve">The Common Warrants will become exercisable at any time on or after the date the Company obtains stockholder approval with respect to the issuance of the Common Warrant Shares upon exercise of the Common Warrants, for a period of five years thereafter, and have an exercise price of $0.85 per share of Common Stock, subject to adjustment for stock splits, reverse stock splits, stock dividends and similar transactions. The Common Warrants are exercisable on a cash basis unless, at the time of such exercise, there is no effective registration statement registering or the prospectus contained therein is not available for the issuance of the Common Warrant Shares to the holder, in which case such Common Warrants will also be exercisable on a cashless exercise basis.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Common Warrants, the Selling Stockholder may not exercise such Common Warrants to the extent such exercise would cause such Selling Stockholder, together with its affiliates, to beneficially own a number of shares of Common Stock which would exceed 4.99% of our then outstanding Common Stock following such exercise, excluding for purposes of such determination Common Stock issuable upon exercise of such Common Warrants which have not been exercised. Under the terms of the Pre-Funded Warrants, the Selling Stockholder may not exercise such Pre-Funded Warrants to the extent such exercise would cause the Selling Stockholder, together with its affiliates, to beneficially own a number of shares of Common Stock which would exceed 9.99% (together with the limitation applicable to the Common Warrants, the “Beneficial Ownership Limitation”) of our then outstanding Common Stock following such exercise, excluding for purposes of such determination Common Stock issuable upon exercise of such Pre-Funded Warrants which have not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Pre-Funded Warrants and the Common Warrants, the Beneficial Ownership Limitation may be increased at the holder’s election upon 61 days’ notice to the Company, subject to the terms of such Warrants, provided that such percentage may in no event exceed 9.99%. The Beneficial Ownership Limitation may be decreased at any time, effective immediately upon notice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were issued or will be issuable to the Selling Stockholder in reliance on the exemption from securities registration in Section 4(a)(2) under the Securities Act and/or Regulation D promulgated thereunder, to the extent applicable, and in reliance on similar exemptions under applicable state laws.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to be offered by the Selling Stockholder are “restricted” securities under applicable federal and state securities laws and are being registered under the Securities Act to give the Selling Stockholder the opportunity to sell these shares publicly. The registration of these shares does not require that any of the shares be offered or sold by the Selling Stockholder. Subject to these resale restrictions, the Selling Stockholder may from time to time offer and sell all or a portion of their shares indicated below in privately negotiated transactions or on the Nasdaq Capital Market or any other market on which our Common Stock may subsequently be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Stockholder and any agents or broker-dealers that participate with the Selling Stockholder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 estimate can be given as to the amount or percentage of Common Stock that will be held by the Selling Stockholder after any sales made pursuant to this prospectus because the Selling Stockholder is not required to sell any of the Warrant Shares being registered under this prospectus. The following table assumes that the Selling Stockholder will sell all of the Warrant Shares listed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footnotes below, the Selling Stockholder has not had any material relationship with us or any of our affiliates within the past three years other than as a security holder.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table based on written representations and information furnished to us by or on behalf of the Selling Stockholder. Since the date on which the Selling Stockholder provided this information, the Selling Stockholder may have sold, transferred or otherwise disposed of all or a portion of the shares of Common Stock in a transaction exempt from the registration requirements of the Securities Act. Unless otherwise indicated in the footnotes below, we believe that: (1) the Selling Stockholder is not a broker-dealer or affiliate of a broker-dealer, (2) the Selling Stockholder has no direct or indirect agreements or understandings with any person to distribute their Warrant Shares, and (3) the Selling Stockholder has sole voting and investment power with respect to all Warrant Shares beneficially owned, subject to applicable community property laws. To the extent the Selling Stockholder identified below is, or is affiliated with, a broker-dealer, it could be deemed, individually but not severally, to be an “underwriter” within the meaning of the Securities Act. Information about the Selling Stockholder may change over time. Any changed information will be set forth in supplements to this prospectus, if required.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Common Stock held, as of July 28, 2026, by the Selling Stockholder and the number of Warrant Shares being registered hereby and information with respect to shares to be beneficially owned by the Selling Stockholder after completion of the offering of the shares for resale. We have determined beneficial ownership in accordance with the rules of the SEC. The inclusion of any shares in this table does not constitute an admission of beneficial ownership by the persons named below. The percentages in the following table reflect the shares beneficially owned by the Selling Stockholder as a percentage of the total number of shares of Common Stock outstanding as of July 28, 2026. As of such date, 16,763,672 shares of Common Stock were outstanding.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24"/>
        <w:gridCol w:w="199"/>
        <w:gridCol w:w="111"/>
        <w:gridCol w:w="1851"/>
        <w:gridCol w:w="351"/>
        <w:gridCol w:w="142"/>
        <w:gridCol w:w="60"/>
        <w:gridCol w:w="569"/>
        <w:gridCol w:w="275"/>
        <w:gridCol w:w="142"/>
        <w:gridCol w:w="129"/>
        <w:gridCol w:w="2136"/>
        <w:gridCol w:w="60"/>
        <w:gridCol w:w="199"/>
        <w:gridCol w:w="118"/>
        <w:gridCol w:w="757"/>
        <w:gridCol w:w="109"/>
        <w:gridCol w:w="294"/>
        <w:gridCol w:w="109"/>
        <w:gridCol w:w="702"/>
        <w:gridCol w:w="68"/>
      </w:tblGrid>
      <w:tr>
        <w:trPr/>
        <w:tc>
          <w:tcPr>
            <w:tcW w:w="182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Before this</w:t>
              <w:br/>
              <w:t>Offering (1)</w:t>
            </w:r>
          </w:p>
        </w:tc>
        <w:tc>
          <w:tcPr>
            <w:tcW w:w="35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9"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 Common</w:t>
              <w:br/>
              <w:t>Stock to be Offered</w:t>
              <w:br/>
              <w:t>Pursuant to this</w:t>
              <w:br/>
              <w:t>Prospectus</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After this</w:t>
              <w:br/>
              <w:t>Offering (1)(2)</w:t>
            </w:r>
          </w:p>
        </w:tc>
        <w:tc>
          <w:tcPr>
            <w:tcW w:w="68" w:type="dxa"/>
            <w:tcBorders/>
            <w:vAlign w:val="bottom"/>
          </w:tcPr>
          <w:p>
            <w:pPr>
              <w:pStyle w:val="TableContents"/>
              <w:bidi w:val="0"/>
              <w:spacing w:before="0" w:after="283"/>
              <w:jc w:val="left"/>
              <w:rPr/>
            </w:pPr>
            <w:r>
              <w:rPr/>
              <w:t> </w:t>
            </w:r>
          </w:p>
        </w:tc>
      </w:tr>
      <w:tr>
        <w:trPr/>
        <w:tc>
          <w:tcPr>
            <w:tcW w:w="182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5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0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w:t>
            </w:r>
          </w:p>
        </w:tc>
        <w:tc>
          <w:tcPr>
            <w:tcW w:w="68" w:type="dxa"/>
            <w:tcBorders/>
            <w:vAlign w:val="bottom"/>
          </w:tcPr>
          <w:p>
            <w:pPr>
              <w:pStyle w:val="TableContents"/>
              <w:bidi w:val="0"/>
              <w:spacing w:before="0" w:after="283"/>
              <w:jc w:val="left"/>
              <w:rPr/>
            </w:pPr>
            <w:r>
              <w:rPr/>
              <w:t> </w:t>
            </w:r>
          </w:p>
        </w:tc>
      </w:tr>
      <w:tr>
        <w:trPr/>
        <w:tc>
          <w:tcPr>
            <w:tcW w:w="18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Stockholder Name</w:t>
            </w:r>
          </w:p>
        </w:tc>
        <w:tc>
          <w:tcPr>
            <w:tcW w:w="19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85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1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29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702"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24" w:type="dxa"/>
            <w:tcBorders/>
          </w:tcPr>
          <w:p>
            <w:pPr>
              <w:pStyle w:val="TableContents"/>
              <w:bidi w:val="0"/>
              <w:spacing w:before="0" w:after="0"/>
              <w:jc w:val="left"/>
              <w:rPr>
                <w:rFonts w:ascii="Times New Roman" w:hAnsi="Times New Roman"/>
                <w:sz w:val="20"/>
              </w:rPr>
            </w:pPr>
            <w:r>
              <w:rPr>
                <w:rFonts w:ascii="Times New Roman" w:hAnsi="Times New Roman"/>
                <w:sz w:val="20"/>
              </w:rPr>
              <w:t>Armistice Capital Master Fund Ltd. (3)</w:t>
            </w:r>
          </w:p>
        </w:tc>
        <w:tc>
          <w:tcPr>
            <w:tcW w:w="19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right"/>
              <w:rPr/>
            </w:pPr>
            <w:r>
              <w:rPr/>
              <w:t>5,226,716</w:t>
            </w:r>
          </w:p>
        </w:tc>
        <w:tc>
          <w:tcPr>
            <w:tcW w:w="351" w:type="dxa"/>
            <w:tcBorders/>
            <w:vAlign w:val="bottom"/>
          </w:tcPr>
          <w:p>
            <w:pPr>
              <w:pStyle w:val="TableContents"/>
              <w:bidi w:val="0"/>
              <w:spacing w:before="0" w:after="283"/>
              <w:jc w:val="left"/>
              <w:rPr/>
            </w:pPr>
            <w:r>
              <w:rPr/>
              <w:t>(4)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31.18</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136" w:type="dxa"/>
            <w:tcBorders/>
            <w:vAlign w:val="bottom"/>
          </w:tcPr>
          <w:p>
            <w:pPr>
              <w:pStyle w:val="TableContents"/>
              <w:bidi w:val="0"/>
              <w:spacing w:before="0" w:after="283"/>
              <w:jc w:val="right"/>
              <w:rPr/>
            </w:pPr>
            <w:r>
              <w:rPr/>
              <w:t>9,411,766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8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5,226,716</w:t>
            </w:r>
          </w:p>
        </w:tc>
        <w:tc>
          <w:tcPr>
            <w:tcW w:w="35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136" w:type="dxa"/>
            <w:tcBorders/>
            <w:shd w:fill="CCEEFF" w:val="clear"/>
            <w:vAlign w:val="bottom"/>
          </w:tcPr>
          <w:p>
            <w:pPr>
              <w:pStyle w:val="TableContents"/>
              <w:bidi w:val="0"/>
              <w:spacing w:before="0" w:after="283"/>
              <w:jc w:val="right"/>
              <w:rPr/>
            </w:pPr>
            <w:r>
              <w:rPr/>
              <w:t>9,411,766</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Rule 13d-3 under the Exchange Act. In computing the number of shares beneficially owned by a person and the percentage ownership of that person, shares of Common Stock subject to the warrants, options and other convertible securities held by that person that are currently exercisable or exercisable within 60 days (of July 28, 2026) are deemed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subject to warrants, options and other convertible securities, however, are not deemed outstanding for the purpose of computing the percentage ownership of any other person.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know when or in what amounts a Selling Stockholder may offer shares for sale. The Selling Stockholder may choose not to sell any or all of the shares offered by this prospectus. Because the Selling Stockholder may offer all or some of the Warrant Shares pursuant to this offering, we cannot estimate the number of the Warrant Shares that will be held by the Selling Stockholder after completion of the offering. However, for purposes of this table, we have assumed that, after completion of the offering, all of the Warrant Shares covered by this prospectus will be sold by the Selling Stockholder and that the Selling Stockholder does not acquire beneficial ownership of any additional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are directly held by Armistice Capital Master Fund Ltd., a Cayman Islands exempted company (the “Master Fund”), and may be deemed to be indirectly beneficially owned by: (i) Armistice Capital, LLC (“Armistice Capital”), as the investment manager of the Master Fund; and (ii) Steven Boyd, as the Managing Member of Armistice Capital. Armistice Capital and Steven Boyd disclaim beneficial ownership of the reported securities except to the extent of their respective pecuniary interest therein. The address of Armistice Capital Master Fund Ltd. is c/o Armistice Capital, LLC, 510 Madison Avenue, 7th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520,834 shares of Common Stock issuable upon the exercise of warrants to purchase Common Stock, issued on May 13, 2024, and (ii) 4,705,883 shares of Common Stock issuable upon the exercise of the Pre-Funded Warrants, without giving effect to the blocker provision described above, which are currently exercisable.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21391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shares of Common Stock issuable upon exercise of the Warrants previously issued to the Selling Stockholder to permit the resale of these shares of Common Stock by the holders of the Warrants from time to time after the date of this prospectus. We will not receive any of the proceeds from the sale by the Selling Stockholder of the shares of Common Stock. We will bear all fees and expenses incident to our obligation to register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 will be responsible for underwriting fees, discounts or commissions or agent’s commissions. The shares of Common Stock may be sold in one or more transactions at fixed prices, at prevailing market prices at the time of the sale, at varying prices determined at the time of sale, or at negotiated prices. The Selling Stockholder will act independently of us in making decisions with respect to the timing, manner and size of each sale. These sales may be effected in transactions, which may involve cross or block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Common Stock by the Selling Stockholder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sales pursuant to Rule 144;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whereby broker-dealers may agree with the Selling Stockholder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 may enter into hedging transactions with broker-dealers, which may in 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 The Selling Stockholder may pledge or grant a security interest in some or all of the shares of Common Stock or Warrants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 under this prospectus. The Selling Stockholder also may transfer and donate the shares of Common Stock in other circumstances in which case the transferees, donees,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individually and not severally,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 and any discounts, commissions or concessions allowed or reallowed or paid to broker-dealers. The Selling Stockholder may indemnify any broker-dealer that participates in transactions involving the sale of the shares of Common Stock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the Common Stock offered will be the purchase price of the Common Stock less discounts or commissions, if any. The Selling Stockholder reserves the right to accept and, together with their agents from time to time, to reject, in whole or in part, any proposed purchase of Common Stock to be made directly or through agents. There can be no assurance that the Selling Stockholder will sell any or all of the shares of Common Stock registered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incur costs, fees and expenses in effecting the registration of the Warrant Shares covered by this prospectus, including, without limitation, all registration, filing, stock exchange fees, printing expenses, all fees and expenses of complying with applicable securities laws and the fees and disbursements of our counsel and of our independent registered public accounting firm and reasonable fees; provided, however, that a Selling Stockholder will pay all underwriting discounts, selling commissions or transfer taxes, if any. We will indemnify the Selling Stockholder against certain liabilities, including certain liabilities arising under the Securities Act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We may be indemnified by the Selling Stockholder against certain liabilities, including certain liabilities arising under the Securities Act or the Exchange Act, that may arise from any written information furnished to us by the Selling Stockholder specifically for use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Once sold under the registration statement, of which this prospectus forms a part, the shares of Common Stock will be freely tradable in the hands of persons other than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21391_10"/>
      <w:bookmarkEnd w:id="12"/>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The following description of the Common Stock, which is the only security of the Company registered under the Exchange Act, summarizes certain information regarding the Common Stock in our Certificate of Incorporation, our Amended and Restated Bylaws (the “Bylaws”), and applicable provisions of General Corporation Law of the State of Delaware (the “DGCL”), and is qualified by reference to our Certificate of Incorporation, our Certificate of Amendment of Certificate of Incorporation, our Certificate of Second Amendment of Certificate of Incorporation, our Certificate of Third Amendment of Certificate of Incorporation, our Certificate of Fourth Amendment of Certificate of Incorporation and our Bylaws, which are incorporated by reference as Exhibits 3.1, 3.2, 3.3, 3.4, 3.5 and 3.6, respectively, to the Annual Report on Form 10-K for the fiscal year ended March 31, 2026.</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par value $0.001 per share and 25,000,000 shares of preferred stock, par value $0.001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As of July 31, 2026, our Certificate of Incorporation authorizes us to issue up to (i) 200,000,000 shares of Common Stock, par value $0.001 per share, and (ii) 25,000,000 shares of preferred stock, par value $0.001 per share.</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2020, we effected a 1-for-20 reverse stock split of our outstanding Common Stock. As a result of the reverse stock split, every twenty (20) shares of our pre-reverse split Common Stock were combined and reclassified into one (1) share of Common Stock. The reverse stock split had no effect on the number of authorized shares of common or preferred stock, or on the stated par value per share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2025, we effected a 1-for-12 reverse stock split of our outstanding Common Stock. As a result of the reverse stock split, every twelve (12) shares of our pre-reverse split Common Stock were combined and reclassified into one (1) share of Common Stock. The reverse stock split had no effect on the number of authorized shares of common or preferred stock, or on the stated par value per share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Common Stock and preferred stock provided for in our Certificate of Incorporation and Bylaws. For additional detail about our capital stock, please refer to our Certificate of Incorporation and Bylaws.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“VIVS”. </w:t>
      </w:r>
    </w:p>
    <w:p>
      <w:pPr>
        <w:pStyle w:val="TextBody"/>
        <w:bidi w:val="0"/>
        <w:spacing w:before="24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Holders of our Common Stock are entitled to one vote for each share on all matters submitted to a stockholder vote, except matters that relate only to a series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are entitled to one vote per share on all matters submitted to a vote of the stockholders, including the election of directors. Generally, all matters to be voted on by stockholders must be approved by a majority (or, in the case of election of directors, by a plurality) of the votes entitled to be cast by all shares of Common Stock that are present in person or represented by proxy. Except as otherwise provided by law, amendments to the Certificate of Incorporation generally must be approved by a majority of the votes entitled to be cast by all outstanding shares of Common Stock. The Certificate of Incorporation does not provide for cumulative voting in the election of directors. The Common Stock holders will be entitled to such cash dividends as may be declared from time to time by our board of directors from funds available. Upon our liquidation, dissolution or winding up, the Common Stock holders will be entitled to receive pro rata all assets available for distribution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limitations under Delaware law and preferences that may apply to any then-outstanding shares of preferred stock, holders of Common Stock are entitled to share ratably in dividends, if any, as may be declared from time to time by our board of directors in its discretion from funds legally available therefor. </w:t>
      </w:r>
    </w:p>
    <w:p>
      <w:pPr>
        <w:pStyle w:val="TextBody"/>
        <w:bidi w:val="0"/>
        <w:spacing w:before="240" w:after="0"/>
        <w:jc w:val="left"/>
        <w:rPr>
          <w:rFonts w:ascii="Times New Roman" w:hAnsi="Times New Roman"/>
          <w:sz w:val="20"/>
        </w:rPr>
      </w:pPr>
      <w:r>
        <w:rPr>
          <w:rFonts w:ascii="Times New Roman" w:hAnsi="Times New Roman"/>
          <w:sz w:val="20"/>
        </w:rPr>
        <w:t xml:space="preserve">Dividends, if any, will be contingent upon our revenues and earnings, if any, and capital requirements and financial conditions. The payment of dividends, if any, will be within the discretion of our board of directors. We presently intend to retain all earnings, if any, and accordingly our board of directors does not anticipate declaring any dividends prior to a business combination.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In the event of a liquidation, dissolution or winding up, the holders of Common Stock are entitled to share pro rata all assets remaining after payment in full of all liabilities and after providing for each class of stock, if any, having preference over the Common Stock, subject to the liquidation preference of any then outstanding shares of preferred stock. </w:t>
      </w:r>
    </w:p>
    <w:p>
      <w:pPr>
        <w:pStyle w:val="TextBody"/>
        <w:bidi w:val="0"/>
        <w:spacing w:before="240" w:after="0"/>
        <w:jc w:val="left"/>
        <w:rPr>
          <w:rFonts w:ascii="Times New Roman" w:hAnsi="Times New Roman"/>
          <w:sz w:val="20"/>
        </w:rPr>
      </w:pPr>
      <w:r>
        <w:rPr>
          <w:rFonts w:ascii="Times New Roman" w:hAnsi="Times New Roman"/>
          <w:i/>
          <w:sz w:val="20"/>
        </w:rPr>
        <w:t>Miscellaneous</w:t>
      </w:r>
      <w:r>
        <w:rPr>
          <w:rFonts w:ascii="Times New Roman" w:hAnsi="Times New Roman"/>
          <w:sz w:val="20"/>
        </w:rPr>
        <w:t xml:space="preserve">. Holders of our Common Stock have no pre-emptive rights, no conversion rights and there are no redemption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July 31, 2026, the Company had outstanding warrants to purchase an aggregate of 10,658,947 shares of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warrants to purchase an aggregate of 18,227 shares of Common Stock (the “Unamended 2024 Common Warrants”) with an exercise price of $9.60 per share, all of which are currently exercisable (subject to certain beneficial ownership requirements) and expire on May 13, 2029, and (ii) warrants to purchase an aggregate of 520,834 shares of Common Stock, as amended by that certain amendment thereto, dated July 16, 2026 (the “Amended 2024 Common Warrants”, and collectively with the Unamended 2024 Common Warrants, the “2024 Common Warrants”), with an original exercise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$9.60 per share and, upon approval by the Company stockholders, a reduced exercise price of $0.85 per share, all of which are currently exercisable (subject to certain beneficial ownership requirements) and expire on the date that is five years following the anniversary of the date the Company obtains stockholder approval with respect to the issuance of the Common Warrant Shares upon exercise of the Common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576,542 common warrants (“March 2026 Common Warrants”) to purchase up to 576,542 shares of Common Stock with an exercise price of $1.71 per share, all of which are currently exercisable (subject to certain beneficial ownership requirements) and expire on April 1,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131,579 warrants (“March 2026 Placement Agent Warrants”) to purchase 131,579 shares of Common Stock with an exercise price of $1.425 per share, which will be exercisable on or after October 1, 2026 (subject to certain beneficial ownership requirements) and expire on April 1, 2029;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4,705,883 Pre-Funded Warrants to purchase 4,705,883 shares of Common Stock with an exercise price of $0.001 per share, all of which are currently exercisable (subject to certain beneficial ownership requirements) and expire when exercised in full;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4,705,883 Common Warrants to purchase up to 4,705,883 shares of Common Stock with an exercise price of $0.85 per share, which will become exercisable on or after the date the Company obtains stockholder approval with respect to the issuance of the Common Warrant Shares upon exercise of the Common Warrants (subject to certain beneficial ownership requirements) for a period of five years thereafter. </w:t>
            </w:r>
          </w:p>
        </w:tc>
      </w:tr>
    </w:tbl>
    <w:p>
      <w:pPr>
        <w:pStyle w:val="TextBody"/>
        <w:bidi w:val="0"/>
        <w:spacing w:before="240" w:after="0"/>
        <w:jc w:val="left"/>
        <w:rPr>
          <w:rFonts w:ascii="Times New Roman" w:hAnsi="Times New Roman"/>
          <w:sz w:val="20"/>
        </w:rPr>
      </w:pPr>
      <w:r>
        <w:rPr>
          <w:rFonts w:ascii="Times New Roman" w:hAnsi="Times New Roman"/>
          <w:sz w:val="20"/>
        </w:rPr>
        <w:t>All of the outstanding warrants contain provisions for the adjustment of the exercise price in the event of stock dividends, stock splits or similar transactions. In addition, the warrants contain a “cashless exercise” feature that allows the holders thereof to exercise the warrants without a cash payment to the Company under certain circumstances. The 2024 Common Warrants, March 2026 Common Warrants, March 2026 Placement Agent Warrants and Common Warrants also contain provisions that provide certain rights to warrant holders in the event of a fundamental transaction, including a merger or consolidation with or into another entity, such as: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receive, upon exercise of such warrants, the same amount and kind of consideration paid to the holders of Common Stock in the fundamental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in the case of the Unamended 2024 Common Warrants and the March 2026 Common Warrants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require the Company or a successor entity to purchase the unexercised portion of certain warrants at the warrant’s respective fair value using the Black-Scholes option pricing formula;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require the Company or a successor entity to redeem the unexercised portion of certain warrants for the same consideration paid to holders of Common Stock in the fundamental transaction at the warrant’s respective fair value using the Black-Scholes option pricing formula.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March 2026 Common Warrants have price protection against subsequent dilutive issuances of shares of Common Stock, options, warrants and convertible securities, subject to a $0.01 per share of Common Stock floor, as further described in the March 2026 Common Warrants. The holders of the March 2026 Common Warrants may exchange the March 2026 Common Warrants on a cashless basis for a number of shares of Common Stock determined by multiplying the total number of shares of Common Stock with respect to which the March 2026 Common Warrant is then being exercised by the Black Scholes Value (as defined in the March 2026 Common Warrant) divided by the lower of the two closing bid prices of the Common Stock in the two days prior to the time of such exercise, but in any event not less than $0.01.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our Certificate of Incorporation and our Bylaws could have the effect of delaying, deferring or discouraging another party from acquiring control of us. These provisions, which are summarized below,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240" w:after="0"/>
        <w:jc w:val="left"/>
        <w:rPr>
          <w:rFonts w:ascii="Times New Roman" w:hAnsi="Times New Roman"/>
          <w:sz w:val="20"/>
        </w:rPr>
      </w:pPr>
      <w:r>
        <w:rPr>
          <w:rFonts w:ascii="Times New Roman" w:hAnsi="Times New Roman"/>
          <w:i/>
          <w:sz w:val="20"/>
        </w:rPr>
        <w:t xml:space="preserve">Classified Board. </w:t>
      </w:r>
      <w:r>
        <w:rPr>
          <w:rFonts w:ascii="Times New Roman" w:hAnsi="Times New Roman"/>
          <w:sz w:val="20"/>
        </w:rPr>
        <w:t xml:space="preserve">Our Certificate of Incorporation and our Bylaws provide that our board of directors is divided into three classes, consisting of two Class I directors, two Class II directors and two Class III directors. The directors designated as Class I directors have a term expiring at our annual meeting of stockholders in 2027. The directors designated as Class II directors have a term expiring at our annual meeting of stockholders in 2028, and the directors designated as a Class III directors have a term expiring at our annual meeting of stockholders in 2026.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at the election. Under the classified board provisions, it will take at least two elections of directors for any individual or group to gain control of our board. Accordingly, these provisions could discourage a third party from initiating a proxy contest, making a tender offer or otherwise attempting to gain control of us. </w:t>
      </w:r>
    </w:p>
    <w:p>
      <w:pPr>
        <w:pStyle w:val="TextBody"/>
        <w:bidi w:val="0"/>
        <w:spacing w:before="240" w:after="0"/>
        <w:jc w:val="left"/>
        <w:rPr>
          <w:rFonts w:ascii="Times New Roman" w:hAnsi="Times New Roman"/>
          <w:sz w:val="20"/>
        </w:rPr>
      </w:pPr>
      <w:r>
        <w:rPr>
          <w:rFonts w:ascii="Times New Roman" w:hAnsi="Times New Roman"/>
          <w:i/>
          <w:sz w:val="20"/>
        </w:rPr>
        <w:t xml:space="preserve">Undesignated preferred stock. </w:t>
      </w:r>
      <w:r>
        <w:rPr>
          <w:rFonts w:ascii="Times New Roman" w:hAnsi="Times New Roman"/>
          <w:sz w:val="20"/>
        </w:rPr>
        <w:t xml:space="preserve">The authority of our board of directors to issue preferred stock could potentially be used to discourage attempts by third parties to obtain control of our company through a merger, 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 </w:t>
      </w:r>
    </w:p>
    <w:p>
      <w:pPr>
        <w:pStyle w:val="TextBody"/>
        <w:bidi w:val="0"/>
        <w:spacing w:before="240" w:after="0"/>
        <w:jc w:val="left"/>
        <w:rPr>
          <w:rFonts w:ascii="Times New Roman" w:hAnsi="Times New Roman"/>
          <w:sz w:val="20"/>
        </w:rPr>
      </w:pPr>
      <w:r>
        <w:rPr>
          <w:rFonts w:ascii="Times New Roman" w:hAnsi="Times New Roman"/>
          <w:i/>
          <w:sz w:val="20"/>
        </w:rPr>
        <w:t xml:space="preserve">Advanced Notice Requirement. </w:t>
      </w:r>
      <w:r>
        <w:rPr>
          <w:rFonts w:ascii="Times New Roman" w:hAnsi="Times New Roman"/>
          <w:sz w:val="20"/>
        </w:rPr>
        <w:t xml:space="preserve">Stockholder nominations of individuals for election to our board of directors and stockholder proposals of other matters to be brought before an annual meeting of our stockholders must comply with the advance notice procedures set forth in our Bylaws. Generally, to be timely, such notice must be received at our principal executive offices no later than the date specified in our proxy statement released to stockholders in connection with the preceding year’s annual meeting of stockholders, which date shall be not earlier than the 75th day, nor later than the close of business on the 45th day, prior to the one-year anniversary of the date on which we first mailed our proxy materials or a notice of availability of proxy materials (whichever is earlier) for the preceding year’s annual meeting and the stockholder must have complied in all respects with the requirements of Section 14 of the Exchange Act, including, without limitation, the requirements of Rule 14a-19 under the Exchange Act. </w:t>
      </w:r>
    </w:p>
    <w:p>
      <w:pPr>
        <w:pStyle w:val="TextBody"/>
        <w:bidi w:val="0"/>
        <w:spacing w:before="240" w:after="0"/>
        <w:jc w:val="left"/>
        <w:rPr>
          <w:rFonts w:ascii="Times New Roman" w:hAnsi="Times New Roman"/>
          <w:sz w:val="20"/>
        </w:rPr>
      </w:pPr>
      <w:r>
        <w:rPr>
          <w:rFonts w:ascii="Times New Roman" w:hAnsi="Times New Roman"/>
          <w:i/>
          <w:sz w:val="20"/>
        </w:rPr>
        <w:t>Special Meeting Requirements.</w:t>
      </w:r>
      <w:r>
        <w:rPr>
          <w:rFonts w:ascii="Times New Roman" w:hAnsi="Times New Roman"/>
          <w:sz w:val="20"/>
        </w:rPr>
        <w:t xml:space="preserve"> Our Bylaws provide that special meetings of our stockholders may only be called at the request of a majority of the authorized number of members of the board of directors, chairperson of the board of directors, chief executive officer, president or secretary. Only such business shall be considered at a special meeting as shall have been stated in the notice for such meeting. </w:t>
      </w:r>
    </w:p>
    <w:p>
      <w:pPr>
        <w:pStyle w:val="TextBody"/>
        <w:bidi w:val="0"/>
        <w:spacing w:before="240" w:after="0"/>
        <w:jc w:val="left"/>
        <w:rPr>
          <w:rFonts w:ascii="Times New Roman" w:hAnsi="Times New Roman"/>
          <w:sz w:val="20"/>
        </w:rPr>
      </w:pPr>
      <w:r>
        <w:rPr>
          <w:rFonts w:ascii="Times New Roman" w:hAnsi="Times New Roman"/>
          <w:i/>
          <w:sz w:val="20"/>
        </w:rPr>
        <w:t xml:space="preserve">No Stockholder Action by Written Consent Except with Prior Board Approval. </w:t>
      </w:r>
      <w:r>
        <w:rPr>
          <w:rFonts w:ascii="Times New Roman" w:hAnsi="Times New Roman"/>
          <w:sz w:val="20"/>
        </w:rPr>
        <w:t xml:space="preserve">Our Certificate of Incorporation and Bylaws provide that no action shall be taken by our stockholders except at an annual or special meeting of the stockholders called in accordance with the Bylaws, and no action shall be taken by our stockholders by written consent, except if the action to be effected by written consent and the taking of such action by written consent is approved in advance by resolution of the board of directors. </w:t>
      </w:r>
    </w:p>
    <w:p>
      <w:pPr>
        <w:pStyle w:val="TextBody"/>
        <w:bidi w:val="0"/>
        <w:spacing w:before="24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Our Certificate of Incorporation does not include a provision for cumulative voting for directors.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Our Certificate of Incorporation and Bylaws provide that the holders of our voting stock may only remove our directors for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 </w:t>
      </w:r>
    </w:p>
    <w:p>
      <w:pPr>
        <w:pStyle w:val="TextBody"/>
        <w:bidi w:val="0"/>
        <w:spacing w:before="240" w:after="0"/>
        <w:jc w:val="left"/>
        <w:rPr>
          <w:rFonts w:ascii="Times New Roman" w:hAnsi="Times New Roman"/>
          <w:sz w:val="20"/>
        </w:rPr>
      </w:pPr>
      <w:r>
        <w:rPr>
          <w:rFonts w:ascii="Times New Roman" w:hAnsi="Times New Roman"/>
          <w:i/>
          <w:sz w:val="20"/>
        </w:rPr>
        <w:t>Size of Board and Vacancies</w:t>
      </w:r>
      <w:r>
        <w:rPr>
          <w:rFonts w:ascii="Times New Roman" w:hAnsi="Times New Roman"/>
          <w:sz w:val="20"/>
        </w:rPr>
        <w:t xml:space="preserve">. Our Bylaws provide that the number of directors on our board of directors is fixed exclusively by our board of directors. Vacancies and newly created directorships resulting from any increase in our authorized number of directors will be filled by a majority of our board of directors then in office, although less than a quorum, or by a sole remaining director. </w:t>
      </w:r>
    </w:p>
    <w:p>
      <w:pPr>
        <w:pStyle w:val="TextBody"/>
        <w:bidi w:val="0"/>
        <w:spacing w:before="24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Our Certificate of Incorporation and our Bylaws provide that we will indemnify our officers and directors against losses as they incur in investigations and legal proceedings resulting from their services to us, which may include service in connection with takeover defense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mortgage, transfer, pledge or other disposition of 10% or more of either the assets or outstanding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Stock Transfer &amp; Trust Company, One State Street, 30th Floor, New York, NY 10004.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“VIVS”. There is no established public trading market for the Pre-Funded Warrants or the Common Warrants to be sold in this offering, and we do not expect a market to develop. In addition, we do not intend to apply for listing of the Pre-Funded Warrants or the Common Warrants on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2139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being offered by this prospectus will be passed upon for us by Paul Hastings LLP, Palo Alto, California. </w:t>
      </w:r>
    </w:p>
    <w:p>
      <w:pPr>
        <w:pStyle w:val="TextBody"/>
        <w:bidi w:val="0"/>
        <w:spacing w:before="480" w:after="0"/>
        <w:jc w:val="center"/>
        <w:rPr>
          <w:rFonts w:ascii="Times New Roman" w:hAnsi="Times New Roman"/>
          <w:b/>
          <w:sz w:val="20"/>
        </w:rPr>
      </w:pPr>
      <w:bookmarkStart w:id="14" w:name="tx12139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the related financial statement schedule, incorporated in this prospectus by reference from the Company’s Annual Report on Form 10-K for the year ended March 31, 2026, have been audited by Rosenberg Rich Baker Berman, P.A., an independent registered public accounting firm, as stated in their report, which is incorporated herein by reference. Such financial statements and financial statement schedule have been so incorporated in reliance upon the report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21391_13"/>
      <w:bookmarkEnd w:id="15"/>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S-1 under the Securities Act with respect to the securities being offered under this prospectus. This prospectus, which constitutes a part of the registration statement, does not contain all of the information set forth in the registration statement and the exhibits to the registration statement. For further information with respect to us and the securities being offered under this prospectus, we refer you to the registration statement of which this prospectus is a part and the exhibits filed as a part of the registration statement. Statements contained in this prospectus as to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including VivoSim Labs, Inc. The SEC’s Internet site can be found at </w:t>
      </w:r>
      <w:r>
        <w:rPr>
          <w:rFonts w:ascii="Times New Roman" w:hAnsi="Times New Roman"/>
          <w:i/>
          <w:sz w:val="20"/>
        </w:rPr>
        <w:t>http://www.sec.gov</w:t>
      </w:r>
      <w:r>
        <w:rPr>
          <w:rFonts w:ascii="Times New Roman" w:hAnsi="Times New Roman"/>
          <w:sz w:val="20"/>
        </w:rPr>
        <w:t xml:space="preserve">. You may also request a copy of these filings, at no cost, by writing us at 11555 Sorrento Valley Road, Suite 100, San Diego, CA 92121 or telephoning us at (858) 224-1000.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www.vivosim.ai. You may access these materials free of charge as soon as reasonably practicable after they are electronically filed with, or furnished to, the SEC. Information contained on or connected to our website is not a part of, and is not incorporated into,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21391_14"/>
      <w:bookmarkEnd w:id="16"/>
      <w:r>
        <w:rPr>
          <w:rFonts w:ascii="Times New Roman" w:hAnsi="Times New Roman"/>
          <w:b/>
          <w:sz w:val="20"/>
        </w:rPr>
        <w:t xml:space="preserve">DISCLOSURE OF COMMISSION POSITION ON INDEMNIFICATION FOR SECURITIES ACT LIABILITIES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persons controlling us pursuant to the provisions described in Item 14 of the registration statement of which this prospectus is a part or otherwise, we have been advised that in the opinion of the SEC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2139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March 31, 2026, filed with the SEC on July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April  3, 2026</w:t>
              </w:r>
            </w:hyperlink>
            <w:r>
              <w:rPr>
                <w:rFonts w:ascii="Times New Roman" w:hAnsi="Times New Roman"/>
                <w:sz w:val="20"/>
              </w:rPr>
              <w:t xml:space="preserve">, </w:t>
            </w:r>
            <w:hyperlink r:id="rId5">
              <w:r>
                <w:rPr>
                  <w:rStyle w:val="InternetLink"/>
                  <w:rFonts w:ascii="Times New Roman" w:hAnsi="Times New Roman"/>
                  <w:sz w:val="20"/>
                </w:rPr>
                <w:t>July  17, 2026</w:t>
              </w:r>
            </w:hyperlink>
            <w:r>
              <w:rPr>
                <w:rFonts w:ascii="Times New Roman" w:hAnsi="Times New Roman"/>
                <w:sz w:val="20"/>
              </w:rPr>
              <w:t xml:space="preserve"> and </w:t>
            </w:r>
            <w:hyperlink r:id="rId6">
              <w:r>
                <w:rPr>
                  <w:rStyle w:val="InternetLink"/>
                  <w:rFonts w:ascii="Times New Roman" w:hAnsi="Times New Roman"/>
                  <w:sz w:val="20"/>
                </w:rPr>
                <w:t>July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7">
              <w:r>
                <w:rPr>
                  <w:rStyle w:val="InternetLink"/>
                  <w:rFonts w:ascii="Times New Roman" w:hAnsi="Times New Roman"/>
                  <w:sz w:val="20"/>
                </w:rPr>
                <w:t>Form 8-A</w:t>
              </w:r>
            </w:hyperlink>
            <w:r>
              <w:rPr>
                <w:rFonts w:ascii="Times New Roman" w:hAnsi="Times New Roman"/>
                <w:sz w:val="20"/>
              </w:rPr>
              <w:t xml:space="preserve"> (File No. 001-35996), filed with the SEC on July 26, 2016, including any amendments or reports filed for the purpose of updating such description, including the description of our Common Stock included as </w:t>
            </w:r>
            <w:hyperlink r:id="rId8">
              <w:r>
                <w:rPr>
                  <w:rStyle w:val="InternetLink"/>
                  <w:rFonts w:ascii="Times New Roman" w:hAnsi="Times New Roman"/>
                  <w:sz w:val="20"/>
                </w:rPr>
                <w:t>Exhibit 4.5</w:t>
              </w:r>
            </w:hyperlink>
            <w:r>
              <w:rPr>
                <w:rFonts w:ascii="Times New Roman" w:hAnsi="Times New Roman"/>
                <w:sz w:val="20"/>
              </w:rPr>
              <w:t xml:space="preserve"> to 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March 31, 2026, filed with the SEC on July 14,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and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VivoSim Labs, Inc. </w:t>
      </w:r>
    </w:p>
    <w:p>
      <w:pPr>
        <w:pStyle w:val="TextBody"/>
        <w:bidi w:val="0"/>
        <w:spacing w:before="0" w:after="0"/>
        <w:jc w:val="center"/>
        <w:rPr>
          <w:rFonts w:ascii="Times New Roman" w:hAnsi="Times New Roman"/>
          <w:sz w:val="20"/>
        </w:rPr>
      </w:pPr>
      <w:r>
        <w:rPr>
          <w:rFonts w:ascii="Times New Roman" w:hAnsi="Times New Roman"/>
          <w:sz w:val="20"/>
        </w:rPr>
        <w:t xml:space="preserve">11555 Sorrento Valley Road, Suite 100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Phone: (858) 224-1000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6217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162175" cy="647700"/>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32"/>
        </w:rPr>
      </w:pPr>
      <w:r>
        <w:rPr>
          <w:rFonts w:ascii="Times New Roman" w:hAnsi="Times New Roman"/>
          <w:b/>
          <w:sz w:val="32"/>
        </w:rPr>
        <w:t xml:space="preserve">VivoSim Labs, Inc. </w:t>
      </w:r>
    </w:p>
    <w:p>
      <w:pPr>
        <w:pStyle w:val="TextBody"/>
        <w:bidi w:val="0"/>
        <w:spacing w:before="1440" w:after="0"/>
        <w:jc w:val="center"/>
        <w:rPr>
          <w:rFonts w:ascii="Times New Roman" w:hAnsi="Times New Roman"/>
          <w:b/>
          <w:sz w:val="28"/>
        </w:rPr>
      </w:pPr>
      <w:r>
        <w:rPr>
          <w:rFonts w:ascii="Times New Roman" w:hAnsi="Times New Roman"/>
          <w:b/>
          <w:sz w:val="28"/>
        </w:rPr>
        <w:t xml:space="preserve">Up to 4,705,883 Shares of Common Stock Underlying the Pre-Funded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Up to 4,705,883 Shares of Common Stock Underlying the Common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expenses to be paid by VivoSim Labs, Inc. (the “Registrant”) in connection with the sale of the Registrant’s common stock, par value $0.001 per share (“Common Stock”), being registered. The security holders will not bear any portion of such expenses. All amounts shown are estimates except for the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5"/>
        <w:gridCol w:w="415"/>
        <w:gridCol w:w="141"/>
        <w:gridCol w:w="754"/>
        <w:gridCol w:w="64"/>
      </w:tblGrid>
      <w:tr>
        <w:trPr/>
        <w:tc>
          <w:tcPr>
            <w:tcW w:w="5565"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452</w:t>
            </w:r>
          </w:p>
        </w:tc>
        <w:tc>
          <w:tcPr>
            <w:tcW w:w="64"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60,000</w:t>
            </w:r>
          </w:p>
        </w:tc>
        <w:tc>
          <w:tcPr>
            <w:tcW w:w="64" w:type="dxa"/>
            <w:tcBorders/>
            <w:vAlign w:val="bottom"/>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10,000</w:t>
            </w:r>
          </w:p>
        </w:tc>
        <w:tc>
          <w:tcPr>
            <w:tcW w:w="64" w:type="dxa"/>
            <w:tcBorders/>
            <w:shd w:fill="CCEEFF" w:val="clear"/>
            <w:vAlign w:val="bottom"/>
          </w:tcPr>
          <w:p>
            <w:pPr>
              <w:pStyle w:val="TableContents"/>
              <w:bidi w:val="0"/>
              <w:spacing w:before="0" w:after="283"/>
              <w:jc w:val="left"/>
              <w:rPr/>
            </w:pPr>
            <w:r>
              <w:rPr/>
              <w:t> </w:t>
            </w:r>
          </w:p>
        </w:tc>
      </w:tr>
      <w:tr>
        <w:trPr/>
        <w:tc>
          <w:tcPr>
            <w:tcW w:w="5565" w:type="dxa"/>
            <w:tcBorders/>
          </w:tcPr>
          <w:p>
            <w:pPr>
              <w:pStyle w:val="TableContents"/>
              <w:bidi w:val="0"/>
              <w:spacing w:before="0" w:after="0"/>
              <w:jc w:val="left"/>
              <w:rPr>
                <w:rFonts w:ascii="Times New Roman" w:hAnsi="Times New Roman"/>
                <w:sz w:val="20"/>
              </w:rPr>
            </w:pPr>
            <w:r>
              <w:rPr>
                <w:rFonts w:ascii="Times New Roman" w:hAnsi="Times New Roman"/>
                <w:sz w:val="20"/>
              </w:rPr>
              <w:t>Printing, transfer agent fees and miscellaneous expenses</w:t>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556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80,452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(the “DGCL”) permits a corporation to eliminate or limit the personal liability of directors of a corporation to the corporation or its stockholders for monetary damages for a breach of fiduciary duty as a director, except where the director breached his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The Registrant’s certificate of incorporation, as amended (the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bylaws (the “Bylaws”) provide that the Registrant will indemnify each person who was or is a party or threatened to be made a party to any threatened, pending or completed action, suit or proceeding (other than an action by or in the right of the Registrant) by reason of the fact that he or she is or was a director or officer of the Registrant, or is or was serving, at the Registrant’s request as a director, officer, employee or agent of another corporation, partnership, joint venture, trust or other enterprise (all such persons being referred to as an “Indemnitee”), against expenses (including, attorneys’ fees), judgments, fines,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paid in settlement actually and reasonably incurred in connection with such action, suit or proceeding, if such Indemnitee acted in good faith and in a manner he or she reasonably believed to be in, or not opposed to, the Registrant’s best interests, and, with respect to any criminal action or proceeding, he or she had no reasonable cause to believe his or her conduct was unlawful. The Bylaws also provide that the Registrant will indemnify any Indemnitee who was or is a party to an action or suit by or in the right of the Registrant to procure a judgment in the Registrant’s favor by reason of the fact that the Indemnitee is or was, a director or officer, or is or was serving, or has agreed to serve, at the Registrant’s request as a director, officer, employee or agent of another corporation, partnership, joint venture, trust or other enterprise, against expenses (including, attorneys’ fees) actually and reasonably incurred by such Indemnitee in connection with the defense or settlement of such action or suit,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and only to the extent, that the Court of Chancery or the court in which such action or suit was brought determines, despite the adjudication of liability but in view of all the circumstances, he or she is entitled to indemnification of such expenses which the Court of Chancery or such other court shall deem proper. Notwithstanding the foregoing, to the extent that any Indemnitee has been successful, on the merits or otherwise, he or she will be indemnified against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directors and executive officers that may be broader than the specific indemnification provisions contained in the DGCL.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the Registrant may purchase and maintain insurance on behalf of any person who is or was a director, officer, employee or agent of the Registrant or is or was serving at the request of the Registrant as a director, officer, employee or agent of another corporation, partnership, joint venture, trust or other enterprise against any liability asserted against him or her in any such capacity, or arising out of his or her status as such, whether or not the Registrant would have the power to indemnify such person against such liability under the DGCL. The Registrant has obtained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See also the undertakings set out in response to Item 17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sz w:val="20"/>
              </w:rPr>
              <w:t>RECENT SALES OF UNREGISTERED SECURITIES</w:t>
            </w:r>
            <w:r>
              <w:rPr>
                <w:rFonts w:ascii="Times New Roman" w:hAnsi="Times New Roman"/>
                <w:b/>
                <w:i/>
                <w:sz w:val="20"/>
              </w:rPr>
              <w: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August 1, 2023, the Registrant has issued the following securities that were not registered under the Securities Act of 1933, as amended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(1) On December 6, 2023, the Registrant issued 5,482 unregistered shares of Common Stock to a marketing firm as consideration for services pursuant to a marketing agreement. </w:t>
      </w:r>
    </w:p>
    <w:p>
      <w:pPr>
        <w:pStyle w:val="TextBody"/>
        <w:bidi w:val="0"/>
        <w:spacing w:before="240" w:after="0"/>
        <w:jc w:val="left"/>
        <w:rPr>
          <w:rFonts w:ascii="Times New Roman" w:hAnsi="Times New Roman"/>
          <w:sz w:val="20"/>
        </w:rPr>
      </w:pPr>
      <w:r>
        <w:rPr>
          <w:rFonts w:ascii="Times New Roman" w:hAnsi="Times New Roman"/>
          <w:sz w:val="20"/>
        </w:rPr>
        <w:t xml:space="preserve">(2) On July 16, 2026, pursuant to that certain Securities Purchase Agreement, by and between the Registrant and the investor listed in the section of this prospectus entitled “Selling Stockholder” (the “Selling Stockholder”), the Registrant issued and sold to the Selling Stockholder, in a private placement transaction, unregistered (i) pre-funded warrants (the “Pre-Funded Warrants”) to purchase up to an aggregate of 4,705,883 shares of Common Stock and (ii) accompanying warrants to purchase up to an aggregate of 4,705,883 shares of Common Stock (the “Common Warrants”, and collectively with the Pre-Funded Warrants,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the shares of Common Stock and the Warrants was not registered under the Securities Act in reliance upon the exemption from registration provided by Section 4(a)(2) of the Securities Act and/or Regulation D promulgated thereunder, to the extent applicable, and in reliance upon similar exemptions under applicable state laws. The marketing firm and the Selling Stockholder represented that they were accredited investors and were acquiring the shares of Common Stock and the Warrants, respectively, for investment purposes only and not with a view to, or for sale in connection with, any distribution thereof and that they could bear the risks of the investments and could hold the securities for an indefinite period of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sz w:val="20"/>
              </w:rPr>
              <w:t>EXHIBITS AND FINANCIAL STATEMENT SCHEDULES</w:t>
            </w:r>
            <w:r>
              <w:rPr>
                <w:rFonts w:ascii="Times New Roman" w:hAnsi="Times New Roman"/>
                <w:b/>
                <w:i/>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(a)</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6"/>
        <w:gridCol w:w="695"/>
        <w:gridCol w:w="8654"/>
      </w:tblGrid>
      <w:tr>
        <w:trPr/>
        <w:tc>
          <w:tcPr>
            <w:tcW w:w="856" w:type="dxa"/>
            <w:tcBorders/>
            <w:vAlign w:val="center"/>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8654" w:type="dxa"/>
            <w:tcBorders/>
            <w:vAlign w:val="center"/>
          </w:tcPr>
          <w:p>
            <w:pPr>
              <w:pStyle w:val="TableContents"/>
              <w:bidi w:val="0"/>
              <w:spacing w:before="0" w:after="283"/>
              <w:jc w:val="left"/>
              <w:rPr>
                <w:sz w:val="4"/>
                <w:szCs w:val="4"/>
              </w:rPr>
            </w:pPr>
            <w:r>
              <w:rPr>
                <w:sz w:val="4"/>
                <w:szCs w:val="4"/>
              </w:rPr>
            </w:r>
          </w:p>
        </w:tc>
      </w:tr>
      <w:tr>
        <w:trPr/>
        <w:tc>
          <w:tcPr>
            <w:tcW w:w="8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95" w:type="dxa"/>
            <w:tcBorders/>
            <w:vAlign w:val="bottom"/>
          </w:tcPr>
          <w:p>
            <w:pPr>
              <w:pStyle w:val="TableContents"/>
              <w:bidi w:val="0"/>
              <w:spacing w:before="0" w:after="283"/>
              <w:jc w:val="left"/>
              <w:rPr/>
            </w:pPr>
            <w:r>
              <w:rPr/>
              <w:t>  </w:t>
            </w:r>
          </w:p>
        </w:tc>
        <w:tc>
          <w:tcPr>
            <w:tcW w:w="86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2.1#</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1">
              <w:r>
                <w:rPr>
                  <w:rStyle w:val="InternetLink"/>
                </w:rPr>
                <w:t>Asset Purchase Agreement, dated February  23, 2025, by and between the Company, Eli Lilly and Company and for certain sections therein, Organovo, Inc. (incorporated by reference to Exhibit 2.1 to the Current Report on Form 8-K filed by the Company with the SEC on February 25, 2025).</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3.1</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2">
              <w:r>
                <w:rPr>
                  <w:rStyle w:val="InternetLink"/>
                </w:rPr>
                <w:t>Certificate of Incorporation (incorporated by reference from Exhibit 3.1 to the Company’s Current Report on Form 8-K, as filed with the SEC on February 3, 2012)</w:t>
              </w:r>
            </w:hyperlink>
            <w:r>
              <w:rPr/>
              <w:t>.</w:t>
            </w:r>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3.2</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3">
              <w:r>
                <w:rPr>
                  <w:rStyle w:val="InternetLink"/>
                </w:rPr>
                <w:t>Certificate of Amendment of Certificate of Incorporation (incorporated by reference from Exhibit 3.1 to the Company’s Current Report on Form 8-K, as filed with the SEC on July 27, 2018).</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3.3</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4">
              <w:r>
                <w:rPr>
                  <w:rStyle w:val="InternetLink"/>
                </w:rPr>
                <w:t>Certificate of Second Amendment of Certificate of Incorporation (incorporated by reference from Exhibit 3.1 to the Company’s Current Report on Form 8-K as filed with the SEC on August 17, 2020).</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3.4</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5">
              <w:r>
                <w:rPr>
                  <w:rStyle w:val="InternetLink"/>
                </w:rPr>
                <w:t>Certificate of Third Amendment of Certificate of Incorporation (incorporated by reference from Exhibit 3.1 to the Company’s Current Report on Form 8-K as filed with the SEC on March 21, 2025).</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3.5</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6">
              <w:r>
                <w:rPr>
                  <w:rStyle w:val="InternetLink"/>
                </w:rPr>
                <w:t>Certificate of Fourth Amendment of Certificate of Incorporation (incorporated by reference from Exhibit 3.1 to the Company’s Current Report on Form 8-K as filed with the SEC on April 24, 2025).</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3.6</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7">
              <w:r>
                <w:rPr>
                  <w:rStyle w:val="InternetLink"/>
                </w:rPr>
                <w:t>Amended and Restated Bylaws (incorporated by reference from Exhibit 3.2 to the Company’s Current Report on Form 8-K as filed with the SEC on April 24, 2025).</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4.1</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8">
              <w:r>
                <w:rPr>
                  <w:rStyle w:val="InternetLink"/>
                </w:rPr>
                <w:t>Form of Common Warrant (incorporated by reference from Exhibit 4.1 to the Company’s Current Report on Form 8-K, as filed with the SEC on May 13, 2024).</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4.2</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19">
              <w:r>
                <w:rPr>
                  <w:rStyle w:val="InternetLink"/>
                </w:rPr>
                <w:t>Form of Pre-Funded Warrant (incorporated by reference to Exhibit 4.3 to the Company’s Registration Statement on Form S-1 (File No. 333-294716) filed with the Securities and Exchange Commission on March 27, 2026).</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4.3</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20">
              <w:r>
                <w:rPr>
                  <w:rStyle w:val="InternetLink"/>
                </w:rPr>
                <w:t>Form of Common Warrant (incorporated by reference to Exhibit 4.4 to the Company’s Registration Statement on Form S-1 (File No. 333-294716) filed with the Securities and Exchange Commission on March 27, 2026).</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4.4</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21">
              <w:r>
                <w:rPr>
                  <w:rStyle w:val="InternetLink"/>
                </w:rPr>
                <w:t>Form of Placement Agent Warrant (incorporated by reference to Exhibit 4.5 to the Company’s Registration Statement on Form S-1 (File No. 333-294716) filed with the Securities and Exchange Commission on March 27, 2026).</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4.5</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22">
              <w:r>
                <w:rPr>
                  <w:rStyle w:val="InternetLink"/>
                </w:rPr>
                <w:t>Description of Securities (incorporated by reference to Exhibit 4.5 to the Annual Report on Form 10-K for the fiscal year ended March 31, 2026, filed with the SEC on July 14, 2026).</w:t>
              </w:r>
            </w:hyperlink>
          </w:p>
        </w:tc>
      </w:tr>
      <w:tr>
        <w:trPr>
          <w:trHeight w:val="120" w:hRule="atLeast"/>
        </w:trPr>
        <w:tc>
          <w:tcPr>
            <w:tcW w:w="856" w:type="dxa"/>
            <w:tcBorders/>
            <w:vAlign w:val="center"/>
          </w:tcPr>
          <w:p>
            <w:pPr>
              <w:pStyle w:val="TableContents"/>
              <w:bidi w:val="0"/>
              <w:spacing w:before="0" w:after="283"/>
              <w:jc w:val="left"/>
              <w:rPr>
                <w:sz w:val="4"/>
                <w:szCs w:val="4"/>
              </w:rPr>
            </w:pPr>
            <w:r>
              <w:rPr>
                <w:sz w:val="4"/>
                <w:szCs w:val="4"/>
              </w:rPr>
            </w:r>
          </w:p>
        </w:tc>
        <w:tc>
          <w:tcPr>
            <w:tcW w:w="9349" w:type="dxa"/>
            <w:gridSpan w:val="2"/>
            <w:tcBorders/>
            <w:vAlign w:val="center"/>
          </w:tcPr>
          <w:p>
            <w:pPr>
              <w:pStyle w:val="TableContents"/>
              <w:bidi w:val="0"/>
              <w:spacing w:before="0" w:after="283"/>
              <w:jc w:val="left"/>
              <w:rPr>
                <w:sz w:val="4"/>
                <w:szCs w:val="4"/>
              </w:rPr>
            </w:pPr>
            <w:r>
              <w:rPr>
                <w:sz w:val="4"/>
                <w:szCs w:val="4"/>
              </w:rPr>
            </w:r>
          </w:p>
        </w:tc>
      </w:tr>
      <w:tr>
        <w:trPr/>
        <w:tc>
          <w:tcPr>
            <w:tcW w:w="856" w:type="dxa"/>
            <w:tcBorders/>
          </w:tcPr>
          <w:p>
            <w:pPr>
              <w:pStyle w:val="TableContents"/>
              <w:bidi w:val="0"/>
              <w:spacing w:before="0" w:after="283"/>
              <w:jc w:val="left"/>
              <w:rPr/>
            </w:pPr>
            <w:r>
              <w:rPr/>
              <w:t> </w:t>
            </w:r>
            <w:r>
              <w:rPr/>
              <w:t>4.6</w:t>
            </w:r>
          </w:p>
        </w:tc>
        <w:tc>
          <w:tcPr>
            <w:tcW w:w="695" w:type="dxa"/>
            <w:tcBorders/>
            <w:vAlign w:val="bottom"/>
          </w:tcPr>
          <w:p>
            <w:pPr>
              <w:pStyle w:val="TableContents"/>
              <w:bidi w:val="0"/>
              <w:spacing w:before="0" w:after="283"/>
              <w:jc w:val="left"/>
              <w:rPr/>
            </w:pPr>
            <w:r>
              <w:rPr/>
              <w:t>  </w:t>
            </w:r>
          </w:p>
        </w:tc>
        <w:tc>
          <w:tcPr>
            <w:tcW w:w="8654" w:type="dxa"/>
            <w:tcBorders/>
          </w:tcPr>
          <w:p>
            <w:pPr>
              <w:pStyle w:val="TableContents"/>
              <w:bidi w:val="0"/>
              <w:spacing w:before="0" w:after="283"/>
              <w:jc w:val="left"/>
              <w:rPr/>
            </w:pPr>
            <w:hyperlink r:id="rId23">
              <w:r>
                <w:rPr>
                  <w:rStyle w:val="InternetLink"/>
                </w:rPr>
                <w:t>Form of Pre-Funded Warrant to Purchase Shares of Common Stock (incorporated by reference to Exhibit 4.1 to the Company’s Current Report on Form 8-K, as filed with the SEC on July 17,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60"/>
        <w:gridCol w:w="601"/>
        <w:gridCol w:w="8744"/>
      </w:tblGrid>
      <w:tr>
        <w:trPr/>
        <w:tc>
          <w:tcPr>
            <w:tcW w:w="8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8744"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1" w:type="dxa"/>
            <w:tcBorders/>
            <w:vAlign w:val="bottom"/>
          </w:tcPr>
          <w:p>
            <w:pPr>
              <w:pStyle w:val="TableContents"/>
              <w:bidi w:val="0"/>
              <w:spacing w:before="0" w:after="283"/>
              <w:jc w:val="left"/>
              <w:rPr/>
            </w:pPr>
            <w:r>
              <w:rPr/>
              <w:t>  </w:t>
            </w:r>
          </w:p>
        </w:tc>
        <w:tc>
          <w:tcPr>
            <w:tcW w:w="8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4.7</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4">
              <w:r>
                <w:rPr>
                  <w:rStyle w:val="InternetLink"/>
                </w:rPr>
                <w:t>Form of Common Stock Purchase Warrant to Purchase Shares of Common Stock (incorporated by reference to Exhibit 4.2 to the Company’s Current Report on Form 8-K, as filed with the SEC on July 17, 2026).</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4.8</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5">
              <w:r>
                <w:rPr>
                  <w:rStyle w:val="InternetLink"/>
                </w:rPr>
                <w:t>Amendment to Common Stock Purchase Warrants, dated July  16, 2026, between the Company and Armistice Capital Master Fund Ltd. (incorporated by reference to Exhibit 4.3 to the Company’s Current Report on Form 8-K, as filed with the SEC on July 17, 2026).</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r>
              <w:rPr/>
              <w:t>5.1*</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w:anchor="d121391dex51.htm">
              <w:r>
                <w:rPr>
                  <w:rStyle w:val="InternetLink"/>
                </w:rPr>
                <w:t xml:space="preserve">Opinion of Paul Hastings LLP. </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10.1+</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6">
              <w:r>
                <w:rPr>
                  <w:rStyle w:val="InternetLink"/>
                </w:rPr>
                <w:t>VivoSim Labs, Inc. Amended and Restated 2012 Equity Incentive Plan (incorporated by reference from Exhibit 10.1 to the Company’s Annual Report on Form 10-K, as filed with the SEC on June 5, 2025).</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10.2+</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7">
              <w:r>
                <w:rPr>
                  <w:rStyle w:val="InternetLink"/>
                </w:rPr>
                <w:t>Form of Stock Option Award Agreement under the 2012 Equity Incentive Plan (incorporated by reference from Exhibit 10.16 to the Company’s Current Report on Form 8-K, as filed with the SEC on February 13, 2012)</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10.3+</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8">
              <w:r>
                <w:rPr>
                  <w:rStyle w:val="InternetLink"/>
                </w:rPr>
                <w:t>Form of Non-Employee Director Stock Option Award Agreement under the 2012 Equity Incentive Plan (incorporated by reference to Exhibit 10.35 to the Company’s Annual Report on Form 10-K, as filed with the SEC on June 9, 2015).</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10.4+</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29">
              <w:r>
                <w:rPr>
                  <w:rStyle w:val="InternetLink"/>
                </w:rPr>
                <w:t>Form of Executive Stock Option Award Agreement under the 2012 Equity Incentive Plan (incorporated by reference to Exhibit 10.36 to the Company’s Annual Report on Form 10-K, as filed with the SEC on June 9, 2015).</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10.5+</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0">
              <w:r>
                <w:rPr>
                  <w:rStyle w:val="InternetLink"/>
                </w:rPr>
                <w:t>Form of Indemnification Agreement (incorporated by reference from Exhibit 10.17 to the Company’s Current Report on Form 8-K, as filed with the SEC on February 13, 2012)</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10.6#</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1">
              <w:r>
                <w:rPr>
                  <w:rStyle w:val="InternetLink"/>
                </w:rPr>
                <w:t>License Agreement, dated March  24, 2009, by and between Organovo, Inc. and the Curators of the University of Missouri (incorporated by reference from Exhibit 10.6 to the Company’s Annual Report on Form 10-K, as filed with the SEC on June 5, 2025).</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10.7#</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2">
              <w:r>
                <w:rPr>
                  <w:rStyle w:val="InternetLink"/>
                </w:rPr>
                <w:t>License Agreement, dated March  12, 2010, by and between Organovo, Inc. and the Curators of the University of Missouri (incorporated by reference from Exhibit 10.7 to the Company’s Annual Report on Form 10-K, as filed with the SEC on June 5, 2025).</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10.8+</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3">
              <w:r>
                <w:rPr>
                  <w:rStyle w:val="InternetLink"/>
                </w:rPr>
                <w:t>Severance and Change in Control Plan (incorporated by reference to Exhibit 10.2 to the Company’s Quarterly Report on Form 10-Q, as filed with the SEC on November 9, 2015)</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10.9+</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4">
              <w:r>
                <w:rPr>
                  <w:rStyle w:val="InternetLink"/>
                </w:rPr>
                <w:t>Amendment No. 1 to Severance and Change in Control Plan, dated May  19, 2020 (incorporated by reference to Exhibit 10.1 to the Company’s Current Report on Form 8-K, as filed with the SEC on May 20, 2020).</w:t>
              </w:r>
            </w:hyperlink>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10.10+</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5">
              <w:r>
                <w:rPr>
                  <w:rStyle w:val="InternetLink"/>
                </w:rPr>
                <w:t>Form of Severance and Change in Control Plan Participation Agreement (incorporated by reference to Exhibit 10.3 to the Company’s Quarterly Report on Form 10-Q, as filed with the SEC on November 9, 2015)</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10.11+</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6">
              <w:r>
                <w:rPr>
                  <w:rStyle w:val="InternetLink"/>
                </w:rPr>
                <w:t>Form of Restricted Stock Unit Grant Notice and Restricted Stock Unit Agreement (Retention Form) under the 2012 Equity Incentive Plan (incorporated by reference from Exhibit 10.1 to the Company’s Quarterly Report on Form 10-Q, as filed with the SEC on August 4, 2016)</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10.12+</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7">
              <w:r>
                <w:rPr>
                  <w:rStyle w:val="InternetLink"/>
                </w:rPr>
                <w:t>Form of Employee Restricted Stock Unit Grant Notice and Restricted Stock Unit Agreement under the 2012 Equity Incentive Plan (incorporated by reference from Exhibit 10.3 to the Company’s Quarterly Report on Form 10-Q, as filed with the SEC on August 4, 2016)</w:t>
              </w:r>
            </w:hyperlink>
            <w:r>
              <w:rPr/>
              <w:t>.</w:t>
            </w:r>
          </w:p>
        </w:tc>
      </w:tr>
      <w:tr>
        <w:trPr>
          <w:trHeight w:val="120" w:hRule="atLeast"/>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10.13+</w:t>
            </w:r>
          </w:p>
        </w:tc>
        <w:tc>
          <w:tcPr>
            <w:tcW w:w="601" w:type="dxa"/>
            <w:tcBorders/>
            <w:vAlign w:val="bottom"/>
          </w:tcPr>
          <w:p>
            <w:pPr>
              <w:pStyle w:val="TableContents"/>
              <w:bidi w:val="0"/>
              <w:spacing w:before="0" w:after="283"/>
              <w:jc w:val="left"/>
              <w:rPr/>
            </w:pPr>
            <w:r>
              <w:rPr/>
              <w:t>  </w:t>
            </w:r>
          </w:p>
        </w:tc>
        <w:tc>
          <w:tcPr>
            <w:tcW w:w="8744" w:type="dxa"/>
            <w:tcBorders/>
          </w:tcPr>
          <w:p>
            <w:pPr>
              <w:pStyle w:val="TableContents"/>
              <w:bidi w:val="0"/>
              <w:spacing w:before="0" w:after="283"/>
              <w:jc w:val="left"/>
              <w:rPr/>
            </w:pPr>
            <w:hyperlink r:id="rId38">
              <w:r>
                <w:rPr>
                  <w:rStyle w:val="InternetLink"/>
                </w:rPr>
                <w:t>Form of Non-Employee Director Restricted Stock Unit Grant Notice and Restricted Stock Unit Agreement under the 2012 Equity Incentive Plan (incorporated by reference from Exhibit 10.4 to the Company’s Quarterly Report on Form 10-Q, as filed with the SEC on August 4, 2016)</w:t>
              </w:r>
            </w:hyperlink>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5"/>
        <w:gridCol w:w="589"/>
        <w:gridCol w:w="8761"/>
      </w:tblGrid>
      <w:tr>
        <w:trPr/>
        <w:tc>
          <w:tcPr>
            <w:tcW w:w="855"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8761"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589" w:type="dxa"/>
            <w:tcBorders/>
            <w:vAlign w:val="bottom"/>
          </w:tcPr>
          <w:p>
            <w:pPr>
              <w:pStyle w:val="TableContents"/>
              <w:bidi w:val="0"/>
              <w:spacing w:before="0" w:after="283"/>
              <w:jc w:val="left"/>
              <w:rPr/>
            </w:pPr>
            <w:r>
              <w:rPr/>
              <w:t>  </w:t>
            </w:r>
          </w:p>
        </w:tc>
        <w:tc>
          <w:tcPr>
            <w:tcW w:w="87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10.14+</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39">
              <w:r>
                <w:rPr>
                  <w:rStyle w:val="InternetLink"/>
                </w:rPr>
                <w:t>Consulting Agreement, dated September  15, 2020, by and between Organovo, Inc. and Multi Dimensional Bio Insight LLC (incorporated by reference from Exhibit 10.1 to the Company’s Quarterly Report on Form 10-Q, as filed with the SEC on November 5, 2020).</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10.15+</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0">
              <w:r>
                <w:rPr>
                  <w:rStyle w:val="InternetLink"/>
                </w:rPr>
                <w:t>Consulting Agreement, dated August  25, 2020, by and between Organovo, Inc. and Danforth Advisors (incorporated by reference from Exhibit 10.2 to the Company’s Quarterly Report on Form 10-Q, as filed with the SEC on November 5, 2020).</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10.16+</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1">
              <w:r>
                <w:rPr>
                  <w:rStyle w:val="InternetLink"/>
                </w:rPr>
                <w:t>Amendment No. 5, dated October 4, 2021, to Consulting Agreement, dated August  25, 2020, by and between Organovo, Inc. and Danforth Advisors LLC (incorporated by reference from Exhibit 10.3 to the Company’s Current Report on Form 8-K, as filed with the SEC on October 6, 2021).</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10.17+</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2">
              <w:r>
                <w:rPr>
                  <w:rStyle w:val="InternetLink"/>
                </w:rPr>
                <w:t>Amendment No. 6, dated December 30, 2024, to Consulting Agreement, dated August  25, 2020, by and between Organovo, Inc. and Danforth Advisors, LLC (incorporated by reference from Exhibit 10.2 to the Company’s Current Report on Form 8-K, as filed with the SEC on December  31, 2024).</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10.18</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3">
              <w:r>
                <w:rPr>
                  <w:rStyle w:val="InternetLink"/>
                </w:rPr>
                <w:t>Lease Agreement, dated November  23, 2020, between VivoSim Labs, Inc. and San Diego Inspire 2, LLC (Permanent Lease Agreement 176640186.8) (incorporated by reference from Exhibit 10.2 to the Company’s Current Report on Form 8-K, as filed with the SEC on November 25, 2020)</w:t>
              </w:r>
            </w:hyperlink>
            <w:r>
              <w:rPr/>
              <w:t>.</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10.19</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4">
              <w:r>
                <w:rPr>
                  <w:rStyle w:val="InternetLink"/>
                </w:rPr>
                <w:t>Amended and Restated Lease Agreement, dated November  23, 2020, between Organovo, Inc., as Tenant, and San Diego Inspire 2, LLC, as Landlord, as amended by First Amendment to Amended &amp; Restated Lease, dated November  17, 2021, between Organovo, Inc., as Tenant and San Diego Inspire 2, LLC, as Landlord (incorporated by reference from Exhibit 10.1 to the Company’s Current Report on Form 8-K, as filed with the SEC on November 19, 2021).</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10.20</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5">
              <w:r>
                <w:rPr>
                  <w:rStyle w:val="InternetLink"/>
                </w:rPr>
                <w:t>Intercompany Agreement, dated December  28, 2020, by and among VivoSim Labs, Inc., Organovo, Inc. and Viscient Biosciences, Inc. (incorporated by reference from Exhibit 10.1 to the Company’s Current Report on Form 8-K, as filed with the SEC on December 31, 2020).</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10.21</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6">
              <w:r>
                <w:rPr>
                  <w:rStyle w:val="InternetLink"/>
                </w:rPr>
                <w:t>Sales Agreement, dated March  16, 2018, by and between VivoSim Labs, Inc. and Jones Trading Institutional Services LLC (incorporated by reference from Exhibit 10.1 to the Company’s Current Report on Form 8-K, as filed with the SEC on March 16, 2018).</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10.22+</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7">
              <w:r>
                <w:rPr>
                  <w:rStyle w:val="InternetLink"/>
                </w:rPr>
                <w:t>VivoSim Labs, Inc. Amended and Restated 2021 Inducement Equity Incentive Plan (incorporated by reference from Exhibit 10.22 to the Company’s Annual Report on Form 10-K, as filed with the SEC on June 5, 2025).</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10.23+</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8">
              <w:r>
                <w:rPr>
                  <w:rStyle w:val="InternetLink"/>
                </w:rPr>
                <w:t>Form of Stock Option Agreement under the VivoSim Labs, Inc. 2021 Inducement Equity Incentive Plan (incorporated by reference from Exhibit 10.23 to the Company’s Annual Report on Form 10-K, as filed with the SEC on June 5, 2025).</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10.24+</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49">
              <w:r>
                <w:rPr>
                  <w:rStyle w:val="InternetLink"/>
                </w:rPr>
                <w:t>Form of Restricted Stock Unit Agreement under the VivoSim Labs, Inc. 2021 Inducement Equity Incentive Plan (incorporated by reference from Exhibit 10.24 to the Company’s Annual Report on Form 10-K, as filed with the SEC on July 29, 2025).</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10.25</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50">
              <w:r>
                <w:rPr>
                  <w:rStyle w:val="InternetLink"/>
                </w:rPr>
                <w:t>Settlement and Patent License Agreement, dated February  22, 2022, by and between Organovo, Inc. and BICO Group AB (incorporated by reference to Exhibit 10.34 to the Company’s Annual Report on Form 10-K, as filed with the SEC on June 10, 2022).</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10.26+</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51">
              <w:r>
                <w:rPr>
                  <w:rStyle w:val="InternetLink"/>
                </w:rPr>
                <w:t>VivoSim Labs, Inc. Amended and Restated 2022 Equity Incentive Plan (incorporated by reference from Exhibit 10.26 to the Company’s Annual Report on Form 10-K, as filed with the SEC on June 5, 2025).</w:t>
              </w:r>
            </w:hyperlink>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10.27+</w:t>
            </w:r>
          </w:p>
        </w:tc>
        <w:tc>
          <w:tcPr>
            <w:tcW w:w="589" w:type="dxa"/>
            <w:tcBorders/>
            <w:vAlign w:val="bottom"/>
          </w:tcPr>
          <w:p>
            <w:pPr>
              <w:pStyle w:val="TableContents"/>
              <w:bidi w:val="0"/>
              <w:spacing w:before="0" w:after="283"/>
              <w:jc w:val="left"/>
              <w:rPr/>
            </w:pPr>
            <w:r>
              <w:rPr/>
              <w:t>  </w:t>
            </w:r>
          </w:p>
        </w:tc>
        <w:tc>
          <w:tcPr>
            <w:tcW w:w="8761" w:type="dxa"/>
            <w:tcBorders/>
          </w:tcPr>
          <w:p>
            <w:pPr>
              <w:pStyle w:val="TableContents"/>
              <w:bidi w:val="0"/>
              <w:spacing w:before="0" w:after="283"/>
              <w:jc w:val="left"/>
              <w:rPr/>
            </w:pPr>
            <w:hyperlink r:id="rId52">
              <w:r>
                <w:rPr>
                  <w:rStyle w:val="InternetLink"/>
                </w:rPr>
                <w:t>Form of Global Stock Option Award Agreement under the VivoSim Labs, Inc. Amended and Restated 2022 Equity Incentive Plan (incorporated by reference from Exhibit 10.27 to the Company’s Annual Report on Form 10-K, as filed with the SEC on June 5,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7"/>
        <w:gridCol w:w="606"/>
        <w:gridCol w:w="8722"/>
      </w:tblGrid>
      <w:tr>
        <w:trPr/>
        <w:tc>
          <w:tcPr>
            <w:tcW w:w="877"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8722" w:type="dxa"/>
            <w:tcBorders/>
            <w:vAlign w:val="center"/>
          </w:tcPr>
          <w:p>
            <w:pPr>
              <w:pStyle w:val="TableContents"/>
              <w:bidi w:val="0"/>
              <w:spacing w:before="0" w:after="283"/>
              <w:jc w:val="left"/>
              <w:rPr>
                <w:sz w:val="4"/>
                <w:szCs w:val="4"/>
              </w:rPr>
            </w:pPr>
            <w:r>
              <w:rPr>
                <w:sz w:val="4"/>
                <w:szCs w:val="4"/>
              </w:rPr>
            </w:r>
          </w:p>
        </w:tc>
      </w:tr>
      <w:tr>
        <w:trPr/>
        <w:tc>
          <w:tcPr>
            <w:tcW w:w="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06" w:type="dxa"/>
            <w:tcBorders/>
            <w:vAlign w:val="bottom"/>
          </w:tcPr>
          <w:p>
            <w:pPr>
              <w:pStyle w:val="TableContents"/>
              <w:bidi w:val="0"/>
              <w:spacing w:before="0" w:after="283"/>
              <w:jc w:val="left"/>
              <w:rPr/>
            </w:pPr>
            <w:r>
              <w:rPr/>
              <w:t>  </w:t>
            </w:r>
          </w:p>
        </w:tc>
        <w:tc>
          <w:tcPr>
            <w:tcW w:w="87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10.28+</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3">
              <w:r>
                <w:rPr>
                  <w:rStyle w:val="InternetLink"/>
                </w:rPr>
                <w:t>Form of Global Restricted Stock Unit Award Agreement under the VivoSim Labs, Inc. Amended and Restated 2022 Equity Incentive Plan (incorporated by reference from Exhibit 10.28 to the Company’s Annual Report on Form 10-K, as filed with the SEC on June 5, 2025).</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10.29+</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4">
              <w:r>
                <w:rPr>
                  <w:rStyle w:val="InternetLink"/>
                </w:rPr>
                <w:t>VivoSim Labs, Inc. Amended and Restated 2023 Employee Stock Purchase Plan (incorporated by reference from Exhibit 10.29 to the Company’s Annual Report on Form 10-K, as filed with the SEC on June 5, 2025).</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10.30+</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5">
              <w:r>
                <w:rPr>
                  <w:rStyle w:val="InternetLink"/>
                </w:rPr>
                <w:t>Offer Letter, dated July  25, 2025, between the Company and Tony Lialin (incorporated by reference from Exhibit 10.1 to the Company’s Current Report on Form 8-K, as filed with the SEC on August 14, 2025).</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10.31</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6">
              <w:r>
                <w:rPr>
                  <w:rStyle w:val="InternetLink"/>
                </w:rPr>
                <w:t>Placement Agency Agreement, dated March 31, 2026, between the Company and Joseph Gunnar  &amp; Co., LLC (incorporated by reference to Exhibit 1.1 to the Company’s Registration Statement on Form S-1 (File No.  333-294716) filed with the Securities and Exchange Commission on March 27, 2026).</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10.32</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7">
              <w:r>
                <w:rPr>
                  <w:rStyle w:val="InternetLink"/>
                </w:rPr>
                <w:t>Form of Securities Purchase Agreement (incorporated by reference to Exhibit 10.30 to the Company’s Registration Statement on Form S-1 (File No. 333-294716) filed with the Securities and Exchange Commission on March 27, 2026).</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10.33+</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8">
              <w:r>
                <w:rPr>
                  <w:rStyle w:val="InternetLink"/>
                </w:rPr>
                <w:t>Offer Letter, dated November  17, 2025, between the Company and Amar Sethi (incorporated by reference from Exhibit 10.33 to the Company’s Annual Report on Form 10-K, as filed with the SEC on July 14, 2026).</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10.34</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59">
              <w:r>
                <w:rPr>
                  <w:rStyle w:val="InternetLink"/>
                </w:rPr>
                <w:t>Securities Purchase Agreement, dated July  16, 2026, between the Company and the purchaser identified on the signature page thereto (incorporated by reference to Exhibit 10.1 to the Company’s Current Report on Form 8-K, as filed with the SEC on July 17, 2026).</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10.35</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60">
              <w:r>
                <w:rPr>
                  <w:rStyle w:val="InternetLink"/>
                </w:rPr>
                <w:t>Placement Agency Agreement, dated July  16, 2026, between the Company and A.G.P./Alliance Global Partners (incorporated by reference to Exhibit 10.2 to the Company’s Current Report on Form 8-K, as filed with the SEC on July 17, 2026).</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19.1</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61">
              <w:r>
                <w:rPr>
                  <w:rStyle w:val="InternetLink"/>
                </w:rPr>
                <w:t>VivoSim Labs, Inc. Insider Trading Policy (incorporated by reference from Exhibit 10.19 to the Company’s Annual Report on Form 10-K, as filed with the SEC on June 5, 2025).</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21.1</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62">
              <w:r>
                <w:rPr>
                  <w:rStyle w:val="InternetLink"/>
                </w:rPr>
                <w:t>Subsidiaries of VivoSim Labs, Inc. (incorporated by reference from Exhibit 21.1 to the Company’s Annual Report on Form 10-K, as filed with the SEC on June 5, 2025).</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23.1*</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w:anchor="d121391dex231.htm">
              <w:r>
                <w:rPr>
                  <w:rStyle w:val="InternetLink"/>
                </w:rPr>
                <w:t xml:space="preserve">Consent of Independent Registered Public Accounting Firm.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24.1*</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w:anchor="sig">
              <w:r>
                <w:rPr>
                  <w:rStyle w:val="InternetLink"/>
                </w:rPr>
                <w:t xml:space="preserve">Power of Attorney (included on signature page hereto).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97</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r:id="rId63">
              <w:r>
                <w:rPr>
                  <w:rStyle w:val="InternetLink"/>
                </w:rPr>
                <w:t>VivoSim Labs, Inc. Clawback Policy (incorporated by reference from Exhibit 97 to the Company’s Annual Report on Form 10-K, as filed with the SEC on May 31, 2024).</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107*</w:t>
            </w:r>
          </w:p>
        </w:tc>
        <w:tc>
          <w:tcPr>
            <w:tcW w:w="606"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283"/>
              <w:jc w:val="left"/>
              <w:rPr/>
            </w:pPr>
            <w:hyperlink w:anchor="d121391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 * *]) have been omitted pursuant to Item 601(b)(10) because the Company has determined that the information is both (i) not material and (ii) of the type that the Company treats as private and confidential. In addition, schedules have been omitted from this filing pursuant to Item 601(b)(2) of Regulation S-K. The Company hereby undertakes to furnish supplemental copies of the unredacted exhibit upon request by the SEC.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Designates management contracts and compensation plans.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(b)</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 Schedules.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schedules are omitted because the information is not required, is not applicable, or is otherwise set forth in the financial statements or the notes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sz w:val="20"/>
              </w:rPr>
              <w:t>UNDERTAKINGS</w:t>
            </w:r>
            <w:r>
              <w:rPr>
                <w:rFonts w:ascii="Times New Roman" w:hAnsi="Times New Roman"/>
                <w:b/>
                <w:i/>
                <w:sz w:val="20"/>
              </w:rPr>
              <w: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exhibit to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Provided, however, that: </w:t>
      </w:r>
    </w:p>
    <w:p>
      <w:pPr>
        <w:pStyle w:val="TextBody"/>
        <w:bidi w:val="0"/>
        <w:spacing w:before="120" w:after="0"/>
        <w:jc w:val="left"/>
        <w:rPr>
          <w:rFonts w:ascii="Times New Roman" w:hAnsi="Times New Roman"/>
          <w:sz w:val="20"/>
        </w:rPr>
      </w:pPr>
      <w:r>
        <w:rPr>
          <w:rFonts w:ascii="Times New Roman" w:hAnsi="Times New Roman"/>
          <w:sz w:val="20"/>
        </w:rPr>
        <w:t xml:space="preserve">Paragraphs (1)(i), (1)(ii) and (1)(iii)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of the Registrant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(5)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ig"/>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San Diego, State of California, on July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VivoSim Labs,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Keith Murphy</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Keith Murphy</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i/>
              </w:rPr>
            </w:pPr>
            <w:r>
              <w:rPr>
                <w:i/>
              </w:rPr>
              <w:t>Executive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Keith Murphy and Norman Staskey, and each or any one of them, as his or her true and lawful attorney-in-fact and agent, with full power of substitution and resubstitution, for him or her and in his or her name, place and stead, in any and all capacities, to sign any and all amendments (including post-effective amendments and any related registration statements filed pursuant to Rule 462 and otherwise)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3"/>
        <w:gridCol w:w="122"/>
        <w:gridCol w:w="3562"/>
        <w:gridCol w:w="201"/>
        <w:gridCol w:w="1917"/>
      </w:tblGrid>
      <w:tr>
        <w:trPr/>
        <w:tc>
          <w:tcPr>
            <w:tcW w:w="44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44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35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Keith Murphy</w:t>
            </w:r>
          </w:p>
          <w:p>
            <w:pPr>
              <w:pStyle w:val="TableContents"/>
              <w:bidi w:val="0"/>
              <w:spacing w:before="0" w:after="20"/>
              <w:jc w:val="left"/>
              <w:rPr>
                <w:rFonts w:ascii="Times New Roman" w:hAnsi="Times New Roman"/>
                <w:sz w:val="20"/>
              </w:rPr>
            </w:pPr>
            <w:r>
              <w:rPr>
                <w:rFonts w:ascii="Times New Roman" w:hAnsi="Times New Roman"/>
                <w:sz w:val="20"/>
              </w:rPr>
              <w:t>Keith Murphy</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Executive Chairman</w:t>
              <w:br/>
              <w:t>(Principal Executive Officer)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Norman Staskey</w:t>
            </w:r>
          </w:p>
          <w:p>
            <w:pPr>
              <w:pStyle w:val="TableContents"/>
              <w:bidi w:val="0"/>
              <w:spacing w:before="0" w:after="20"/>
              <w:jc w:val="left"/>
              <w:rPr>
                <w:rFonts w:ascii="Times New Roman" w:hAnsi="Times New Roman"/>
                <w:sz w:val="20"/>
              </w:rPr>
            </w:pPr>
            <w:r>
              <w:rPr>
                <w:rFonts w:ascii="Times New Roman" w:hAnsi="Times New Roman"/>
                <w:sz w:val="20"/>
              </w:rPr>
              <w:t>Norman Staskey</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Chief Financial Officer</w:t>
              <w:br/>
              <w:t>(Principal Financial and Principal Accounting Officer)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Adam Stern</w:t>
            </w:r>
          </w:p>
          <w:p>
            <w:pPr>
              <w:pStyle w:val="TableContents"/>
              <w:bidi w:val="0"/>
              <w:spacing w:before="0" w:after="20"/>
              <w:jc w:val="left"/>
              <w:rPr>
                <w:rFonts w:ascii="Times New Roman" w:hAnsi="Times New Roman"/>
                <w:sz w:val="20"/>
              </w:rPr>
            </w:pPr>
            <w:r>
              <w:rPr>
                <w:rFonts w:ascii="Times New Roman" w:hAnsi="Times New Roman"/>
                <w:sz w:val="20"/>
              </w:rPr>
              <w:t>Adam Stern</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Douglas Cohen</w:t>
            </w:r>
          </w:p>
          <w:p>
            <w:pPr>
              <w:pStyle w:val="TableContents"/>
              <w:bidi w:val="0"/>
              <w:spacing w:before="0" w:after="20"/>
              <w:jc w:val="left"/>
              <w:rPr>
                <w:rFonts w:ascii="Times New Roman" w:hAnsi="Times New Roman"/>
                <w:sz w:val="20"/>
              </w:rPr>
            </w:pPr>
            <w:r>
              <w:rPr>
                <w:rFonts w:ascii="Times New Roman" w:hAnsi="Times New Roman"/>
                <w:sz w:val="20"/>
              </w:rPr>
              <w:t>Douglas Cohen</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Gobel</w:t>
            </w:r>
          </w:p>
          <w:p>
            <w:pPr>
              <w:pStyle w:val="TableContents"/>
              <w:bidi w:val="0"/>
              <w:spacing w:before="0" w:after="20"/>
              <w:jc w:val="left"/>
              <w:rPr>
                <w:rFonts w:ascii="Times New Roman" w:hAnsi="Times New Roman"/>
                <w:sz w:val="20"/>
              </w:rPr>
            </w:pPr>
            <w:r>
              <w:rPr>
                <w:rFonts w:ascii="Times New Roman" w:hAnsi="Times New Roman"/>
                <w:sz w:val="20"/>
              </w:rPr>
              <w:t>David Gobel</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r>
        <w:trPr>
          <w:trHeight w:val="240" w:hRule="atLeast"/>
        </w:trPr>
        <w:tc>
          <w:tcPr>
            <w:tcW w:w="4403"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r>
      <w:tr>
        <w:trPr/>
        <w:tc>
          <w:tcPr>
            <w:tcW w:w="44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Alison Milhous</w:t>
            </w:r>
          </w:p>
          <w:p>
            <w:pPr>
              <w:pStyle w:val="TableContents"/>
              <w:bidi w:val="0"/>
              <w:spacing w:before="0" w:after="20"/>
              <w:jc w:val="left"/>
              <w:rPr>
                <w:rFonts w:ascii="Times New Roman" w:hAnsi="Times New Roman"/>
                <w:sz w:val="20"/>
              </w:rPr>
            </w:pPr>
            <w:r>
              <w:rPr>
                <w:rFonts w:ascii="Times New Roman" w:hAnsi="Times New Roman"/>
                <w:sz w:val="20"/>
              </w:rPr>
              <w:t>Alison Milhous</w:t>
            </w:r>
          </w:p>
        </w:tc>
        <w:tc>
          <w:tcPr>
            <w:tcW w:w="122" w:type="dxa"/>
            <w:tcBorders/>
            <w:vAlign w:val="bottom"/>
          </w:tcPr>
          <w:p>
            <w:pPr>
              <w:pStyle w:val="TableContents"/>
              <w:bidi w:val="0"/>
              <w:spacing w:before="0" w:after="283"/>
              <w:jc w:val="left"/>
              <w:rPr/>
            </w:pPr>
            <w:r>
              <w:rPr/>
              <w:t>  </w:t>
            </w:r>
          </w:p>
        </w:tc>
        <w:tc>
          <w:tcPr>
            <w:tcW w:w="356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917" w:type="dxa"/>
            <w:tcBorders/>
          </w:tcPr>
          <w:p>
            <w:pPr>
              <w:pStyle w:val="TableContents"/>
              <w:bidi w:val="0"/>
              <w:spacing w:before="0" w:after="283"/>
              <w:jc w:val="center"/>
              <w:rPr/>
            </w:pPr>
            <w:r>
              <w:rPr/>
              <w:t>July 31,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p>
    <w:p>
      <w:pPr>
        <w:pStyle w:val="TextBody"/>
        <w:bidi w:val="0"/>
        <w:spacing w:before="0" w:after="0"/>
        <w:jc w:val="right"/>
        <w:rPr>
          <w:rFonts w:ascii="Times New Roman" w:hAnsi="Times New Roman"/>
          <w:b/>
          <w:sz w:val="20"/>
        </w:rPr>
      </w:pPr>
      <w:bookmarkStart w:id="19" w:name="d121391dex51.htm"/>
      <w:bookmarkStart w:id="20" w:name="ksd121391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97685" cy="6108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4"/>
                    <a:stretch>
                      <a:fillRect/>
                    </a:stretch>
                  </pic:blipFill>
                  <pic:spPr bwMode="auto">
                    <a:xfrm>
                      <a:off x="0" y="0"/>
                      <a:ext cx="1797685" cy="61087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87"/>
        <w:gridCol w:w="126"/>
        <w:gridCol w:w="1292"/>
      </w:tblGrid>
      <w:tr>
        <w:trPr/>
        <w:tc>
          <w:tcPr>
            <w:tcW w:w="878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78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47901.00001</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240" w:after="0"/>
        <w:jc w:val="left"/>
        <w:rPr>
          <w:rFonts w:ascii="Times New Roman" w:hAnsi="Times New Roman"/>
          <w:sz w:val="20"/>
        </w:rPr>
      </w:pPr>
      <w:r>
        <w:rPr>
          <w:rFonts w:ascii="Times New Roman" w:hAnsi="Times New Roman"/>
          <w:sz w:val="20"/>
        </w:rPr>
        <w:t xml:space="preserve">VivoSim Labs, Inc. </w:t>
      </w:r>
    </w:p>
    <w:p>
      <w:pPr>
        <w:pStyle w:val="TextBody"/>
        <w:bidi w:val="0"/>
        <w:spacing w:before="0" w:after="0"/>
        <w:jc w:val="left"/>
        <w:rPr>
          <w:rFonts w:ascii="Times New Roman" w:hAnsi="Times New Roman"/>
          <w:sz w:val="20"/>
        </w:rPr>
      </w:pPr>
      <w:r>
        <w:rPr>
          <w:rFonts w:ascii="Times New Roman" w:hAnsi="Times New Roman"/>
          <w:sz w:val="20"/>
        </w:rPr>
        <w:t xml:space="preserve">11555 Sorrento Valley Road, Suite 100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VivoSim Labs, Inc., a Delaware corporation (the “</w:t>
      </w:r>
      <w:r>
        <w:rPr>
          <w:rFonts w:ascii="Times New Roman" w:hAnsi="Times New Roman"/>
          <w:b/>
          <w:i/>
          <w:sz w:val="20"/>
        </w:rPr>
        <w:t>Company</w:t>
      </w:r>
      <w:r>
        <w:rPr>
          <w:rFonts w:ascii="Times New Roman" w:hAnsi="Times New Roman"/>
          <w:sz w:val="20"/>
        </w:rPr>
        <w:t>”), in connection with the preparation and filing with the U.S. Securities and Exchange Commission (the “</w:t>
      </w:r>
      <w:r>
        <w:rPr>
          <w:rFonts w:ascii="Times New Roman" w:hAnsi="Times New Roman"/>
          <w:b/>
          <w:i/>
          <w:sz w:val="20"/>
        </w:rPr>
        <w:t>Commission</w:t>
      </w:r>
      <w:r>
        <w:rPr>
          <w:rFonts w:ascii="Times New Roman" w:hAnsi="Times New Roman"/>
          <w:sz w:val="20"/>
        </w:rPr>
        <w:t>”), pursuant to the Securities Act of 1933, as amended (the “</w:t>
      </w:r>
      <w:r>
        <w:rPr>
          <w:rFonts w:ascii="Times New Roman" w:hAnsi="Times New Roman"/>
          <w:b/>
          <w:i/>
          <w:sz w:val="20"/>
        </w:rPr>
        <w:t>Securities Act</w:t>
      </w:r>
      <w:r>
        <w:rPr>
          <w:rFonts w:ascii="Times New Roman" w:hAnsi="Times New Roman"/>
          <w:sz w:val="20"/>
        </w:rPr>
        <w:t>”), of the Registration Statement on Form S-1 of the Company (including all exhibits thereto, the “</w:t>
      </w:r>
      <w:r>
        <w:rPr>
          <w:rFonts w:ascii="Times New Roman" w:hAnsi="Times New Roman"/>
          <w:b/>
          <w:i/>
          <w:sz w:val="20"/>
        </w:rPr>
        <w:t>Registration Statement</w:t>
      </w:r>
      <w:r>
        <w:rPr>
          <w:rFonts w:ascii="Times New Roman" w:hAnsi="Times New Roman"/>
          <w:sz w:val="20"/>
        </w:rPr>
        <w:t>”), including a related prospectus filed with the Registration Statement (the “</w:t>
      </w:r>
      <w:r>
        <w:rPr>
          <w:rFonts w:ascii="Times New Roman" w:hAnsi="Times New Roman"/>
          <w:b/>
          <w:i/>
          <w:sz w:val="20"/>
        </w:rPr>
        <w:t>Prospectus</w:t>
      </w:r>
      <w:r>
        <w:rPr>
          <w:rFonts w:ascii="Times New Roman" w:hAnsi="Times New Roman"/>
          <w:sz w:val="20"/>
        </w:rPr>
        <w:t>”) relating to the proposed public offering (the “</w:t>
      </w:r>
      <w:r>
        <w:rPr>
          <w:rFonts w:ascii="Times New Roman" w:hAnsi="Times New Roman"/>
          <w:b/>
          <w:i/>
          <w:sz w:val="20"/>
        </w:rPr>
        <w:t>Offering</w:t>
      </w:r>
      <w:r>
        <w:rPr>
          <w:rFonts w:ascii="Times New Roman" w:hAnsi="Times New Roman"/>
          <w:sz w:val="20"/>
        </w:rPr>
        <w:t>”) of 9,411,766 shares of the Company’s common stock, par value $0.001 per share (the “</w:t>
      </w:r>
      <w:r>
        <w:rPr>
          <w:rFonts w:ascii="Times New Roman" w:hAnsi="Times New Roman"/>
          <w:b/>
          <w:i/>
          <w:sz w:val="20"/>
        </w:rPr>
        <w:t>Common Stock</w:t>
      </w:r>
      <w:r>
        <w:rPr>
          <w:rFonts w:ascii="Times New Roman" w:hAnsi="Times New Roman"/>
          <w:sz w:val="20"/>
        </w:rPr>
        <w:t>”), which consists of (i) 4,705,883 shares of Common Stock (the “</w:t>
      </w:r>
      <w:r>
        <w:rPr>
          <w:rFonts w:ascii="Times New Roman" w:hAnsi="Times New Roman"/>
          <w:b/>
          <w:i/>
          <w:sz w:val="20"/>
        </w:rPr>
        <w:t>Pre-Funded Warrant Shares</w:t>
      </w:r>
      <w:r>
        <w:rPr>
          <w:rFonts w:ascii="Times New Roman" w:hAnsi="Times New Roman"/>
          <w:sz w:val="20"/>
        </w:rPr>
        <w:t>”) issuable upon the exercise of those certain pre-funded warrants (the “</w:t>
      </w:r>
      <w:r>
        <w:rPr>
          <w:rFonts w:ascii="Times New Roman" w:hAnsi="Times New Roman"/>
          <w:b/>
          <w:i/>
          <w:sz w:val="20"/>
        </w:rPr>
        <w:t>Pre-Funded Warrants</w:t>
      </w:r>
      <w:r>
        <w:rPr>
          <w:rFonts w:ascii="Times New Roman" w:hAnsi="Times New Roman"/>
          <w:sz w:val="20"/>
        </w:rPr>
        <w:t>”) to purchase Common Stock issued to the selling stockholder (the “</w:t>
      </w:r>
      <w:r>
        <w:rPr>
          <w:rFonts w:ascii="Times New Roman" w:hAnsi="Times New Roman"/>
          <w:b/>
          <w:i/>
          <w:sz w:val="20"/>
        </w:rPr>
        <w:t>Selling Stockholder</w:t>
      </w:r>
      <w:r>
        <w:rPr>
          <w:rFonts w:ascii="Times New Roman" w:hAnsi="Times New Roman"/>
          <w:sz w:val="20"/>
        </w:rPr>
        <w:t>”) on July 17, 2026 pursuant to that certain Securities Purchase Agreement, dated as of July 16, 2026, by and between the Company and the Selling Stockholder (the “</w:t>
      </w:r>
      <w:r>
        <w:rPr>
          <w:rFonts w:ascii="Times New Roman" w:hAnsi="Times New Roman"/>
          <w:b/>
          <w:i/>
          <w:sz w:val="20"/>
        </w:rPr>
        <w:t>Securities Purchase Agreement</w:t>
      </w:r>
      <w:r>
        <w:rPr>
          <w:rFonts w:ascii="Times New Roman" w:hAnsi="Times New Roman"/>
          <w:sz w:val="20"/>
        </w:rPr>
        <w:t>”), and (ii) 4,705,883 shares of Common Stock (the “</w:t>
      </w:r>
      <w:r>
        <w:rPr>
          <w:rFonts w:ascii="Times New Roman" w:hAnsi="Times New Roman"/>
          <w:b/>
          <w:i/>
          <w:sz w:val="20"/>
        </w:rPr>
        <w:t>Common Warrant Shares</w:t>
      </w:r>
      <w:r>
        <w:rPr>
          <w:rFonts w:ascii="Times New Roman" w:hAnsi="Times New Roman"/>
          <w:sz w:val="20"/>
        </w:rPr>
        <w:t>” and, together with the Pre-Funded Warrant Shares, the “</w:t>
      </w:r>
      <w:r>
        <w:rPr>
          <w:rFonts w:ascii="Times New Roman" w:hAnsi="Times New Roman"/>
          <w:b/>
          <w:i/>
          <w:sz w:val="20"/>
        </w:rPr>
        <w:t>Warrant Shares</w:t>
      </w:r>
      <w:r>
        <w:rPr>
          <w:rFonts w:ascii="Times New Roman" w:hAnsi="Times New Roman"/>
          <w:sz w:val="20"/>
        </w:rPr>
        <w:t>”) issuable upon the exercise of those certain warrants to purchase Common Stock issued to the Selling Stockholder on July 17, 2026 pursuant to the Securities Purchase Agreement (the “</w:t>
      </w:r>
      <w:r>
        <w:rPr>
          <w:rFonts w:ascii="Times New Roman" w:hAnsi="Times New Roman"/>
          <w:b/>
          <w:i/>
          <w:sz w:val="20"/>
        </w:rPr>
        <w:t>Common Warrants</w:t>
      </w:r>
      <w:r>
        <w:rPr>
          <w:rFonts w:ascii="Times New Roman" w:hAnsi="Times New Roman"/>
          <w:sz w:val="20"/>
        </w:rPr>
        <w:t>” and, together with the Pre-Funded Warrants, the “</w:t>
      </w:r>
      <w:r>
        <w:rPr>
          <w:rFonts w:ascii="Times New Roman" w:hAnsi="Times New Roman"/>
          <w:b/>
          <w:i/>
          <w:sz w:val="20"/>
        </w:rPr>
        <w:t>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form of Securities Purchase Agreement, the form of Pre-Funded Warrant, the form of Common Warrant, the Company’s Certificate of Incorporation, as amended, and the Company’s Amended and Restated Bylaws, each as currently in effect, and the originals or copies, certified or otherwise identified to our satisfaction, of such documents, resolutions, certificates and other instruments of the Company and such other instruments and documents as we have deemed necessary or appropriate as a basis for the opinion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 </w:t>
      </w:r>
    </w:p>
    <w:p>
      <w:pPr>
        <w:pStyle w:val="TextBody"/>
        <w:bidi w:val="0"/>
        <w:spacing w:before="0" w:after="0"/>
        <w:jc w:val="left"/>
        <w:rPr/>
      </w:pPr>
      <w:r>
        <w:rPr/>
        <w:t> </w:t>
      </w:r>
    </w:p>
    <w:p>
      <w:pPr>
        <w:pStyle w:val="TextBody"/>
        <w:bidi w:val="0"/>
        <w:spacing w:before="0" w:after="0"/>
        <w:jc w:val="right"/>
        <w:rPr/>
      </w:pPr>
      <w:r>
        <w:rPr/>
        <w:drawing>
          <wp:inline distT="0" distB="0" distL="0" distR="0">
            <wp:extent cx="3450590" cy="309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5"/>
                    <a:stretch>
                      <a:fillRect/>
                    </a:stretch>
                  </pic:blipFill>
                  <pic:spPr bwMode="auto">
                    <a:xfrm>
                      <a:off x="0" y="0"/>
                      <a:ext cx="3450590" cy="30988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797685" cy="6108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6"/>
                    <a:stretch>
                      <a:fillRect/>
                    </a:stretch>
                  </pic:blipFill>
                  <pic:spPr bwMode="auto">
                    <a:xfrm>
                      <a:off x="0" y="0"/>
                      <a:ext cx="1797685" cy="6108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and in reliance thereon,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The Warrant Shares have been duly authorized by all necessary corporate action on the part of the Company and assuming sufficient authorized but unissued shares of Common Stock are available for issuance when the Warrants are exercised, the Warrant Shares, when issued, delivered and paid for in accordance with the terms of the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any of the other limitations, exceptions, assumptions and qualifications stated elsewhere herein, we express no opinion with regard to the applicability or effect of the laws of any jurisdiction other than the General Corporation Law of the State of Delaware, as in effect on the date of this opinion letter. We are not rendering any opinion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deals only with the specified legal issues expressly addressed herein, and you should not infer any opinion that is not explicitly stated herein from any matter addressed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rendered solely in connection with the offering of the Warrant Shares as described in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reference to our firm in the Prospectus under the heading “Legal Matters.” In giving such consent, we do not hereby admit that we are within the category of persons whose consent is required under Section 7 of the Securities Act or the rules or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Paul Hastings LLP </w:t>
      </w:r>
    </w:p>
    <w:p>
      <w:pPr>
        <w:pStyle w:val="TextBody"/>
        <w:bidi w:val="0"/>
        <w:spacing w:before="0" w:after="0"/>
        <w:jc w:val="right"/>
        <w:rPr>
          <w:rFonts w:ascii="Times New Roman" w:hAnsi="Times New Roman"/>
          <w:b/>
          <w:sz w:val="20"/>
        </w:rPr>
      </w:pPr>
      <w:bookmarkStart w:id="21" w:name="d121391dex231.htm"/>
      <w:bookmarkStart w:id="22" w:name="ksd121391dex231"/>
      <w:bookmarkEnd w:id="21"/>
      <w:bookmarkEnd w:id="22"/>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059180" cy="4419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7"/>
                    <a:stretch>
                      <a:fillRect/>
                    </a:stretch>
                  </pic:blipFill>
                  <pic:spPr bwMode="auto">
                    <a:xfrm>
                      <a:off x="0" y="0"/>
                      <a:ext cx="1059180" cy="4419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7"/>
        <w:gridCol w:w="122"/>
        <w:gridCol w:w="4926"/>
      </w:tblGrid>
      <w:tr>
        <w:trPr/>
        <w:tc>
          <w:tcPr>
            <w:tcW w:w="51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26" w:type="dxa"/>
            <w:tcBorders/>
            <w:vAlign w:val="center"/>
          </w:tcPr>
          <w:p>
            <w:pPr>
              <w:pStyle w:val="TableContents"/>
              <w:bidi w:val="0"/>
              <w:spacing w:before="0" w:after="283"/>
              <w:jc w:val="left"/>
              <w:rPr>
                <w:sz w:val="4"/>
                <w:szCs w:val="4"/>
              </w:rPr>
            </w:pPr>
            <w:r>
              <w:rPr>
                <w:sz w:val="4"/>
                <w:szCs w:val="4"/>
              </w:rPr>
            </w:r>
          </w:p>
        </w:tc>
      </w:tr>
      <w:tr>
        <w:trPr/>
        <w:tc>
          <w:tcPr>
            <w:tcW w:w="5157" w:type="dxa"/>
            <w:tcBorders/>
            <w:vAlign w:val="bottom"/>
          </w:tcPr>
          <w:p>
            <w:pPr>
              <w:pStyle w:val="TableContents"/>
              <w:bidi w:val="0"/>
              <w:spacing w:before="0" w:after="283"/>
              <w:jc w:val="left"/>
              <w:rPr>
                <w:b/>
                <w:sz w:val="20"/>
              </w:rPr>
            </w:pPr>
            <w:r>
              <w:rPr>
                <w:b/>
                <w:sz w:val="20"/>
              </w:rPr>
              <w:t>ROSENBERG RICH BAKER BERMAN, P.A.</w:t>
            </w:r>
          </w:p>
        </w:tc>
        <w:tc>
          <w:tcPr>
            <w:tcW w:w="122" w:type="dxa"/>
            <w:tcBorders/>
            <w:vAlign w:val="bottom"/>
          </w:tcPr>
          <w:p>
            <w:pPr>
              <w:pStyle w:val="TableContents"/>
              <w:bidi w:val="0"/>
              <w:spacing w:before="0" w:after="283"/>
              <w:jc w:val="left"/>
              <w:rPr/>
            </w:pPr>
            <w:r>
              <w:rPr/>
              <w:t>  </w:t>
            </w:r>
          </w:p>
        </w:tc>
        <w:tc>
          <w:tcPr>
            <w:tcW w:w="4926" w:type="dxa"/>
            <w:tcBorders/>
            <w:vAlign w:val="bottom"/>
          </w:tcPr>
          <w:p>
            <w:pPr>
              <w:pStyle w:val="TableContents"/>
              <w:bidi w:val="0"/>
              <w:spacing w:before="0" w:after="283"/>
              <w:jc w:val="right"/>
              <w:rPr/>
            </w:pPr>
            <w:r>
              <w:rPr/>
              <w:t>www.rrbb.com</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of our report dated July 14, 2026 (which report includes an explanatory paragraph relating to the existence of substantial doubt about the Company’s ability to continue as a going concern), with respect to the consolidated financial statements of VivoSim Labs, Inc., formerly known as Organovo Holdings, Inc., as of March 31, 2026 and 2025 and for the years then ended, included in the Company’s Annual Report on Form 10-K for the year ended March 31, 2026 and to the reference to our Firm under the caption “Experts”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Rosenberg Rich Baker Berman, P.A. </w:t>
      </w:r>
    </w:p>
    <w:p>
      <w:pPr>
        <w:pStyle w:val="TextBody"/>
        <w:bidi w:val="0"/>
        <w:spacing w:before="240" w:after="0"/>
        <w:jc w:val="left"/>
        <w:rPr>
          <w:rFonts w:ascii="Times New Roman" w:hAnsi="Times New Roman"/>
          <w:sz w:val="20"/>
        </w:rPr>
      </w:pPr>
      <w:r>
        <w:rPr>
          <w:rFonts w:ascii="Times New Roman" w:hAnsi="Times New Roman"/>
          <w:sz w:val="20"/>
        </w:rPr>
        <w:t xml:space="preserve">Somerset, New Jersey </w:t>
      </w:r>
    </w:p>
    <w:p>
      <w:pPr>
        <w:pStyle w:val="TextBody"/>
        <w:bidi w:val="0"/>
        <w:spacing w:before="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lineRule="atLeast" w:line="180" w:before="0" w:after="0"/>
        <w:jc w:val="left"/>
        <w:rPr/>
      </w:pPr>
      <w:r>
        <w:rPr/>
        <w:t>“</w:t>
      </w:r>
      <w:r>
        <w:rPr>
          <w:rFonts w:ascii="Times New Roman" w:hAnsi="Times New Roman"/>
          <w:sz w:val="15"/>
        </w:rPr>
        <w:t xml:space="preserve">RRBB” is the brand name under which Rosenberg Rich Baker Berman, P.A. and RRBB Advisors, LLC, and its subsidiary entities, including CFO Financial Partners LLC, provide professional services. Rosenberg Rich Baker Berman, P.A. and RRBB Advisors, LLC (and its subsidiary entities) practice as an alternative practice structure in accordance with the AICPA Code of Professional Conduct and applicable laws, regulations, and professional standards. Rosenberg Rich Baker Berman, P.A. is a licensed independent CPA firm that provides attest services to its clients, and RRBB Advisors, LLC, and its subsidiary entities provide tax and business consulting services to their clients. RRBB Advisors, LLC, and its subsidiary entities are not licensed CPA firms. </w:t>
      </w:r>
    </w:p>
    <w:p>
      <w:pPr>
        <w:pStyle w:val="Normal"/>
        <w:bidi w:val="0"/>
        <w:spacing w:before="0" w:after="0"/>
        <w:jc w:val="left"/>
        <w:rPr>
          <w:sz w:val="4"/>
          <w:szCs w:val="4"/>
        </w:rPr>
      </w:pPr>
      <w:r>
        <w:rPr>
          <w:sz w:val="4"/>
          <w:szCs w:val="4"/>
        </w:rPr>
      </w:r>
      <w:bookmarkStart w:id="23" w:name="d121391dexfilingfees.htm"/>
      <w:bookmarkStart w:id="24" w:name="ksd121391dexfilingfees"/>
      <w:bookmarkStart w:id="25" w:name="d121391dexfilingfees.htm"/>
      <w:bookmarkStart w:id="26" w:name="ksd121391dexfilingfees"/>
      <w:bookmarkEnd w:id="25"/>
      <w:bookmarkEnd w:id="26"/>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VivoSim Labs,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issuable upon exercise of warrants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9,411,766 </w:t>
            </w:r>
          </w:p>
        </w:tc>
        <w:tc>
          <w:tcPr>
            <w:tcW w:w="1156" w:type="dxa"/>
            <w:tcBorders/>
            <w:shd w:fill="E7E7E2" w:val="clear"/>
            <w:vAlign w:val="center"/>
          </w:tcPr>
          <w:p>
            <w:pPr>
              <w:pStyle w:val="TableContents"/>
              <w:bidi w:val="0"/>
              <w:spacing w:before="0" w:after="283"/>
              <w:jc w:val="right"/>
              <w:rPr/>
            </w:pPr>
            <w:r>
              <w:rPr/>
              <w:t xml:space="preserve">$ 0.3477 </w:t>
            </w:r>
          </w:p>
        </w:tc>
        <w:tc>
          <w:tcPr>
            <w:tcW w:w="1546" w:type="dxa"/>
            <w:tcBorders/>
            <w:shd w:fill="E7E7E2" w:val="clear"/>
            <w:vAlign w:val="center"/>
          </w:tcPr>
          <w:p>
            <w:pPr>
              <w:pStyle w:val="TableContents"/>
              <w:bidi w:val="0"/>
              <w:spacing w:before="0" w:after="283"/>
              <w:jc w:val="right"/>
              <w:rPr/>
            </w:pPr>
            <w:r>
              <w:rPr/>
              <w:t xml:space="preserve">$ 3,272,471.04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$ 451.93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7" w:name="MaxAggtOfferingPrice"/>
            <w:bookmarkEnd w:id="27"/>
            <w:r>
              <w:rPr/>
              <w:t xml:space="preserve">$ 3,272,471.04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$ 451.93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$ 451.93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shall also cover any additional shares of the Registrant's Common Stock ("Common Stock") in connection with any stock dividend, stock split, recapitalization or other similar transaction effected without receipt of consideration that increases the number of outstanding shares of Common Stock. (2) Consists of 9,411,766 shares of Common Stock registered for resale by the Selling Stockholder named in this Registration Statement, including (i) 4,705,883 Pre-Funded Warrant Shares (as defined in this Registration Statement) and (ii) 4,705,883 Common Warrant Shares (as defined in this Registration Statement). (3) Estimated solely for the purpose of calculating the amount of the registration fee pursuant to Rule 457(c) of the Securities Act. The proposed maximum offering price per share and the proposed maximum aggregate offering price with respect to the shares are calculated based on $0.3477 per share, the average of the high and low prices of the Common Stock, as reported on the Nasdaq Capital Market on July 29, 2026, a date within five business days prior to the filing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97253/000119312526303316/vivs-20260331.htm" TargetMode="External"/><Relationship Id="rId4" Type="http://schemas.openxmlformats.org/officeDocument/2006/relationships/hyperlink" Target="http://www.sec.gov/Archives/edgar/data/../../../ix?doc=/Archives/edgar/data/1497253/000119312526142106/vivs-20260331.htm" TargetMode="External"/><Relationship Id="rId5" Type="http://schemas.openxmlformats.org/officeDocument/2006/relationships/hyperlink" Target="http://www.sec.gov/Archives/edgar/data/../../../ix?doc=/Archives/edgar/data/0001497253/000119312526306849/d134319d8k.htm" TargetMode="External"/><Relationship Id="rId6" Type="http://schemas.openxmlformats.org/officeDocument/2006/relationships/hyperlink" Target="http://www.sec.gov/Archives/edgar/data/../../../ix?doc=/Archives/edgar/data/0001497253/000121390026081377/ea0299224-8k_vivo.htm" TargetMode="External"/><Relationship Id="rId7" Type="http://schemas.openxmlformats.org/officeDocument/2006/relationships/hyperlink" Target="http://www.sec.gov/Archives/edgar/data/1497253/000119312516657337/d214807d8a12b.htm" TargetMode="External"/><Relationship Id="rId8" Type="http://schemas.openxmlformats.org/officeDocument/2006/relationships/hyperlink" Target="http://www.sec.gov/Archives/edgar/data/1497253/000119312526303316/vivs-ex4_5.htm" TargetMode="External"/><Relationship Id="rId9" Type="http://schemas.openxmlformats.org/officeDocument/2006/relationships/hyperlink" Target="http://www.sec.gov/Archives/edgar/data/../../../ix?doc=/Archives/edgar/data/0001497253/000119312526303316/vivs-20260331.htm" TargetMode="External"/><Relationship Id="rId10" Type="http://schemas.openxmlformats.org/officeDocument/2006/relationships/image" Target="media/image1.jpeg"/><Relationship Id="rId11" Type="http://schemas.openxmlformats.org/officeDocument/2006/relationships/hyperlink" Target="http://www.sec.gov/Archives/edgar/data/1497253/000095017025026097/onvo-ex2_1.htm" TargetMode="External"/><Relationship Id="rId12" Type="http://schemas.openxmlformats.org/officeDocument/2006/relationships/hyperlink" Target="http://www.sec.gov/Archives/edgar/data/1497253/000121390012000432/f8k013012ex3i_organovo.htm" TargetMode="External"/><Relationship Id="rId13" Type="http://schemas.openxmlformats.org/officeDocument/2006/relationships/hyperlink" Target="http://www.sec.gov/Archives/edgar/data/1497253/000156459018017696/onvo-ex31_7.htm" TargetMode="External"/><Relationship Id="rId14" Type="http://schemas.openxmlformats.org/officeDocument/2006/relationships/hyperlink" Target="http://www.sec.gov/Archives/edgar/data/1497253/000156459020040374/onvo-ex31_7.htm" TargetMode="External"/><Relationship Id="rId15" Type="http://schemas.openxmlformats.org/officeDocument/2006/relationships/hyperlink" Target="http://www.sec.gov/Archives/edgar/data/1497253/000095017025042903/onvo-ex99_1.htm" TargetMode="External"/><Relationship Id="rId16" Type="http://schemas.openxmlformats.org/officeDocument/2006/relationships/hyperlink" Target="http://www.sec.gov/Archives/edgar/data/1497253/000095017025057685/vivs-ex3_1.htm" TargetMode="External"/><Relationship Id="rId17" Type="http://schemas.openxmlformats.org/officeDocument/2006/relationships/hyperlink" Target="http://www.sec.gov/Archives/edgar/data/1497253/000095017025057685/vivs-ex3_2.htm" TargetMode="External"/><Relationship Id="rId18" Type="http://schemas.openxmlformats.org/officeDocument/2006/relationships/hyperlink" Target="http://www.sec.gov/Archives/edgar/data/1497253/000095017024058805/onvo-ex4_1.htm" TargetMode="External"/><Relationship Id="rId19" Type="http://schemas.openxmlformats.org/officeDocument/2006/relationships/hyperlink" Target="http://www.sec.gov/Archives/edgar/data/1497253/000121390026035742/ea028377701ex4-3.htm" TargetMode="External"/><Relationship Id="rId20" Type="http://schemas.openxmlformats.org/officeDocument/2006/relationships/hyperlink" Target="http://www.sec.gov/Archives/edgar/data/1497253/000121390026035742/ea028377701ex4-4.htm" TargetMode="External"/><Relationship Id="rId21" Type="http://schemas.openxmlformats.org/officeDocument/2006/relationships/hyperlink" Target="http://www.sec.gov/Archives/edgar/data/1497253/000121390026035742/ea028377701ex4-5.htm" TargetMode="External"/><Relationship Id="rId22" Type="http://schemas.openxmlformats.org/officeDocument/2006/relationships/hyperlink" Target="http://www.sec.gov/Archives/edgar/data/1497253/000119312526303316/vivs-ex4_5.htm" TargetMode="External"/><Relationship Id="rId23" Type="http://schemas.openxmlformats.org/officeDocument/2006/relationships/hyperlink" Target="http://www.sec.gov/Archives/edgar/data/1497253/000119312526306849/d134319dex41.htm" TargetMode="External"/><Relationship Id="rId24" Type="http://schemas.openxmlformats.org/officeDocument/2006/relationships/hyperlink" Target="http://www.sec.gov/Archives/edgar/data/1497253/000119312526306849/d134319dex42.htm" TargetMode="External"/><Relationship Id="rId25" Type="http://schemas.openxmlformats.org/officeDocument/2006/relationships/hyperlink" Target="http://www.sec.gov/Archives/edgar/data/1497253/000119312526306849/d134319dex43.htm" TargetMode="External"/><Relationship Id="rId26" Type="http://schemas.openxmlformats.org/officeDocument/2006/relationships/hyperlink" Target="http://www.sec.gov/Archives/edgar/data/1497253/000095017025082312/vivs-ex10_1.htm" TargetMode="External"/><Relationship Id="rId27" Type="http://schemas.openxmlformats.org/officeDocument/2006/relationships/hyperlink" Target="http://www.sec.gov/Archives/edgar/data/1497253/000121390012000621/f8k0212ex10xvii_organovo.htm" TargetMode="External"/><Relationship Id="rId28" Type="http://schemas.openxmlformats.org/officeDocument/2006/relationships/hyperlink" Target="http://www.sec.gov/Archives/edgar/data/1497253/000156459015004951/onvo-ex1035_20150331230.htm" TargetMode="External"/><Relationship Id="rId29" Type="http://schemas.openxmlformats.org/officeDocument/2006/relationships/hyperlink" Target="http://www.sec.gov/Archives/edgar/data/1497253/000156459015004951/onvo-ex1036_20150331231.htm" TargetMode="External"/><Relationship Id="rId30" Type="http://schemas.openxmlformats.org/officeDocument/2006/relationships/hyperlink" Target="http://www.sec.gov/Archives/edgar/data/1497253/000121390012000621/f8k0212ex10xviii_organovo.htm" TargetMode="External"/><Relationship Id="rId31" Type="http://schemas.openxmlformats.org/officeDocument/2006/relationships/hyperlink" Target="http://www.sec.gov/Archives/edgar/data/1497253/000095017025082312/vivs-ex10_6.htm" TargetMode="External"/><Relationship Id="rId32" Type="http://schemas.openxmlformats.org/officeDocument/2006/relationships/hyperlink" Target="http://www.sec.gov/Archives/edgar/data/1497253/000095017025082312/vivs-ex10_7.htm" TargetMode="External"/><Relationship Id="rId33" Type="http://schemas.openxmlformats.org/officeDocument/2006/relationships/hyperlink" Target="http://www.sec.gov/Archives/edgar/data/1497253/000156459015010138/onvo-ex102_790.htm" TargetMode="External"/><Relationship Id="rId34" Type="http://schemas.openxmlformats.org/officeDocument/2006/relationships/hyperlink" Target="http://www.sec.gov/Archives/edgar/data/1497253/000156459020026401/onvo-ex101_7.htm" TargetMode="External"/><Relationship Id="rId35" Type="http://schemas.openxmlformats.org/officeDocument/2006/relationships/hyperlink" Target="http://www.sec.gov/Archives/edgar/data/1497253/000156459015010138/onvo-ex103_533.htm" TargetMode="External"/><Relationship Id="rId36" Type="http://schemas.openxmlformats.org/officeDocument/2006/relationships/hyperlink" Target="http://www.sec.gov/Archives/edgar/data/1497253/000156459016022692/onvo-ex101_237.htm" TargetMode="External"/><Relationship Id="rId37" Type="http://schemas.openxmlformats.org/officeDocument/2006/relationships/hyperlink" Target="http://www.sec.gov/Archives/edgar/data/1497253/000156459016022692/onvo-ex103_238.htm" TargetMode="External"/><Relationship Id="rId38" Type="http://schemas.openxmlformats.org/officeDocument/2006/relationships/hyperlink" Target="http://www.sec.gov/Archives/edgar/data/1497253/000156459016022692/onvo-ex104_235.htm" TargetMode="External"/><Relationship Id="rId39" Type="http://schemas.openxmlformats.org/officeDocument/2006/relationships/hyperlink" Target="http://www.sec.gov/Archives/edgar/data/0001497253/000156459020051311/onvo-ex101_48.htm" TargetMode="External"/><Relationship Id="rId40" Type="http://schemas.openxmlformats.org/officeDocument/2006/relationships/hyperlink" Target="http://www.sec.gov/Archives/edgar/data/0001497253/000156459020051311/onvo-ex102_49.htm" TargetMode="External"/><Relationship Id="rId41" Type="http://schemas.openxmlformats.org/officeDocument/2006/relationships/hyperlink" Target="http://www.sec.gov/Archives/edgar/data/1497253/000156459021050320/onvo-ex103_18.htm" TargetMode="External"/><Relationship Id="rId42" Type="http://schemas.openxmlformats.org/officeDocument/2006/relationships/hyperlink" Target="http://www.sec.gov/Archives/edgar/data/1497253/000095017024141323/onvo-ex10_2.htm" TargetMode="External"/><Relationship Id="rId43" Type="http://schemas.openxmlformats.org/officeDocument/2006/relationships/hyperlink" Target="http://www.sec.gov/Archives/edgar/data/1497253/000156459020055281/onvo-ex102_20.htm" TargetMode="External"/><Relationship Id="rId44" Type="http://schemas.openxmlformats.org/officeDocument/2006/relationships/hyperlink" Target="http://www.sec.gov/Archives/edgar/data/1497253/000156459021057764/onvo-ex101_6.htm" TargetMode="External"/><Relationship Id="rId45" Type="http://schemas.openxmlformats.org/officeDocument/2006/relationships/hyperlink" Target="http://www.sec.gov/Archives/edgar/data/1497253/000156459020058969/onvo-ex101_6.htm" TargetMode="External"/><Relationship Id="rId46" Type="http://schemas.openxmlformats.org/officeDocument/2006/relationships/hyperlink" Target="http://www.sec.gov/Archives/edgar/data/1497253/000119312518086037/d525808dex101.htm" TargetMode="External"/><Relationship Id="rId47" Type="http://schemas.openxmlformats.org/officeDocument/2006/relationships/hyperlink" Target="http://www.sec.gov/Archives/edgar/data/1497253/000095017025082312/vivs-ex10_22.htm" TargetMode="External"/><Relationship Id="rId48" Type="http://schemas.openxmlformats.org/officeDocument/2006/relationships/hyperlink" Target="http://www.sec.gov/Archives/edgar/data/1497253/000095017025082312/vivs-ex10_23.htm" TargetMode="External"/><Relationship Id="rId49" Type="http://schemas.openxmlformats.org/officeDocument/2006/relationships/hyperlink" Target="http://www.sec.gov/Archives/edgar/data/1497253/000095017025082312/vivs-ex10_24.htm" TargetMode="External"/><Relationship Id="rId50" Type="http://schemas.openxmlformats.org/officeDocument/2006/relationships/hyperlink" Target="http://www.sec.gov/Archives/edgar/data/1497253/000156459022022994/onvo-ex1034_351.htm" TargetMode="External"/><Relationship Id="rId51" Type="http://schemas.openxmlformats.org/officeDocument/2006/relationships/hyperlink" Target="http://www.sec.gov/Archives/edgar/data/1497253/000095017025082312/vivs-ex10_26.htm" TargetMode="External"/><Relationship Id="rId52" Type="http://schemas.openxmlformats.org/officeDocument/2006/relationships/hyperlink" Target="http://www.sec.gov/Archives/edgar/data/1497253/000095017025082312/vivs-ex10_27.htm" TargetMode="External"/><Relationship Id="rId53" Type="http://schemas.openxmlformats.org/officeDocument/2006/relationships/hyperlink" Target="http://www.sec.gov/Archives/edgar/data/1497253/000095017025082312/vivs-ex10_28.htm" TargetMode="External"/><Relationship Id="rId54" Type="http://schemas.openxmlformats.org/officeDocument/2006/relationships/hyperlink" Target="http://www.sec.gov/Archives/edgar/data/1497253/000095017025082312/vivs-ex10_29.htm" TargetMode="External"/><Relationship Id="rId55" Type="http://schemas.openxmlformats.org/officeDocument/2006/relationships/hyperlink" Target="http://www.sec.gov/Archives/edgar/data/1497253/000095017025108447/vivs-ex10_1.htm" TargetMode="External"/><Relationship Id="rId56" Type="http://schemas.openxmlformats.org/officeDocument/2006/relationships/hyperlink" Target="http://www.sec.gov/Archives/edgar/data/1497253/000121390026035742/ea028377701ex1-1.htm" TargetMode="External"/><Relationship Id="rId57" Type="http://schemas.openxmlformats.org/officeDocument/2006/relationships/hyperlink" Target="http://www.sec.gov/Archives/edgar/data/1497253/000121390026035742/ea028377701ex10-30.htm" TargetMode="External"/><Relationship Id="rId58" Type="http://schemas.openxmlformats.org/officeDocument/2006/relationships/hyperlink" Target="http://www.sec.gov/Archives/edgar/data/1497253/000119312526303316/vivs-ex10_33.htm" TargetMode="External"/><Relationship Id="rId59" Type="http://schemas.openxmlformats.org/officeDocument/2006/relationships/hyperlink" Target="http://www.sec.gov/Archives/edgar/data/1497253/000119312526306849/d134319dex101.htm" TargetMode="External"/><Relationship Id="rId60" Type="http://schemas.openxmlformats.org/officeDocument/2006/relationships/hyperlink" Target="http://www.sec.gov/Archives/edgar/data/1497253/000119312526306849/d134319dex102.htm" TargetMode="External"/><Relationship Id="rId61" Type="http://schemas.openxmlformats.org/officeDocument/2006/relationships/hyperlink" Target="http://www.sec.gov/Archives/edgar/data/1497253/000095017025082312/vivs-ex19_1.htm" TargetMode="External"/><Relationship Id="rId62" Type="http://schemas.openxmlformats.org/officeDocument/2006/relationships/hyperlink" Target="http://www.sec.gov/Archives/edgar/data/1497253/000095017025082312/vivs-ex21_1.htm" TargetMode="External"/><Relationship Id="rId63" Type="http://schemas.openxmlformats.org/officeDocument/2006/relationships/hyperlink" Target="http://www.sec.gov/Archives/edgar/data/1497253/000095017024067301/onvo-ex97.htm" TargetMode="External"/><Relationship Id="rId64" Type="http://schemas.openxmlformats.org/officeDocument/2006/relationships/image" Target="media/image2.jpeg"/><Relationship Id="rId65" Type="http://schemas.openxmlformats.org/officeDocument/2006/relationships/image" Target="media/image3.jpeg"/><Relationship Id="rId66" Type="http://schemas.openxmlformats.org/officeDocument/2006/relationships/image" Target="media/image2.jpeg"/><Relationship Id="rId67" Type="http://schemas.openxmlformats.org/officeDocument/2006/relationships/image" Target="media/image4.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18341</Words>
  <Characters>97276</Characters>
  <CharactersWithSpaces>115900</CharactersWithSpaces>
  <Paragraphs>1164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