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VivoSim Labs,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001-35996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27-1488943</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11555 Sorrento Valley 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224-1000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VIVS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On March 31, 2026, VivoSim Labs, Inc. (the “Company”) priced a best efforts public offering (the “Offering”) of up to 3,508,772 shares of its common stock, par value $0.001 per share (“Common Stock”), or up to 3,508,772 pre-funded warrants to purchase up to an aggregate of 3,508,772 shares of Common Stock in lieu thereof (“Pre-Funded Warrants”), together with an aggregate of up to 5,263,159 accompanying common warrants (“Common Warrants”) to purchase up to 5,263,159 shares of Common Stock, with each share of Common Stock being sold together with 1.5 Common Warrants to purchase one share of Common Stock and each Pre-Funded Warrant to purchase one share of Common Stock being sold together with 1.5 Common Warrants to purchase one share of Common Stock.</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Offering is comprised of two tranches (each, a “Tranche”). At the closing of the initial tranche (the “Initial Tranche”) that occurred on April 1, 2026 (the “Initial Tranche Closing”), the Company issued and sold: (i) an aggregate of 286,557 shares of Common Stock, together with an aggregate of 429,836 accompanying Common Warrants to purchase up to an aggregate of 429,836 shares of Common Stock, at a combined public offering price of $1.14 per share of Common Stock and accompanying 1.5 Common Warrants to purchase one share of Common Stock, and (ii) an aggregate of 2,345,022 Pre-Funded Warrants to purchase up to an aggregate of 2,345,022 shares of Common Stock, together with an aggregate of 3,517,533 accompanying Common Warrants to purchase up to an aggregate of 3,517,533 shares of Common Stock, at a combined public offering price of $1.139 per Pre-Funded Warrant and accompanying 1.5 Common Warrants to purchase one share of Common Stock. Each Common Warrant issued in the Initial Tranche has an exercise price of $1.71 per share of Common Stock.</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second tranche (the “Second Tranche”), if any, purchasers in the Initial Tranche may purchase shares of Common Stock, or Pre-Funded Warrants in lieu thereof, and accompanying 1.5 Common Warrants to purchase one share of Common Stock for each share of Common Stock or Pre-Funded Warrant purchased, for an aggregate purchase price of up to $1,000,000 on the 30th day following the Initial Tranche Closing (the “Second Tranche Closing Date”), subject to the satisfaction of certain conditions, including that (i) the closing price of the Common Stock on the trading day immediately before the Second Tranche Closing Date must be at least equal to $1.43 (the closing price of the Common Stock on the trading day immediately prior to the day of the Initial Tranche Closing) and (ii) the average daily trading volume of the Common Stock during the ten (10) consecutive trading days immediately prior to the Second Tranche Closing Date must be at least $100,000. In the Second Tranche, if any, the combined purchase price per share of Common Stock and accompanying 1.5 Common Warrants to purchase one share of Common Stock will be equal to or greater than $1.14, and the combined purchase price per Pre-Funded Warrant and accompanying 1.5 Common Warrants to purchase one share of Common Stock will be equal to or greater than $1.139. In the Second Tranche, each Common Warrant will have an exercise price: (i) equal to 120% of the applicable combined public offering price per share of Common Stock and accompanying 1.5 Common Warrants to purchase one share of Common Stock for the Second Tranche, and (ii) in any event of not less than $1.71 per share of Common Stock.</w:t>
      </w:r>
    </w:p>
    <w:p>
      <w:pPr>
        <w:spacing w:after="0" w:line="1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Common Warrants are immediately exercisable, expire on the fifth anniversary of the original issuance date and have price protection against subsequent dilutive issuances of shares of Common Stock, options, warrants and convertible securities, subject to a $0.01 per share of Common Stock floor, as further described in the Common Warrants. At any time after the Initial Tranche Closing,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Under this cashless exercise provision, the number of shares of Common Stock the Company may be required to issue upon a cashless exercise may be significantly greater than the number of shares for which the Common Warrants would otherwise be exercisable.</w:t>
      </w:r>
    </w:p>
    <w:p>
      <w:pPr>
        <w:spacing w:after="0" w:line="1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the Offering, the Company offered to any purchaser whose purchase of shares of Common Stock in the Offering would otherwise result in such purchaser, together with its affiliates and certain related parties, beneficially owning more than 9.99% (or, at the election of the purchaser, 4.99%) of the outstanding Common Stock immediately following the consummation of the Offering, the opportunity to purchase Pre-Funded Warrants, in lieu of shares of Common Stock that would otherwise result in such purchaser’s beneficial ownership exceeding 9.99% (or, at the election of the purchaser, 4.99%) of the outstanding Common Stock. The combined public offering price of each Pre-Funded Warrant to purchase one share of Common Stock and accompanying 1.5 Common Warrants to purchase one share of Common Stock is equal to the applicable price at which one share of Common Stock and accompanying</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1.5 Common Warrants to purchase one share of Common Stock is sold to the public in the applicable Tranche of the Offering, minus $0.001 (for the Pre-Funded Warrants issued in the Initial Tranche, $1.139 per Pre-Funded Warrant and accompanying 1.5 Common Warrants to purchase one share of Common Stock), and the exercise price of each Pre-Funded Warrant is $0.001 per share. The Pre-Funded Warrants are immediately exercisable and may be exercised at any time until all of the Pre-Funded Warrants are exercised in full. Each Pre-Funded Warrant may be exercised, in cash or, if there is no effective registration statement permitting the issuance or resale of the shares issuable upon exercise of the Pre-Funded Warrant, by a cashless exercise at the election of the holder at any time following the date of issuance and from time to time thereafter until the Pre-Funded Warrants are exercised in full.</w:t>
      </w:r>
    </w:p>
    <w:p>
      <w:pPr>
        <w:spacing w:after="0" w:line="1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Company entered into a Securities Purchase Agreement (the “Purchase Agreement”) on March 31, 2026, the form of which is filed as Exhibit 10.1, and which contains customary representations and warranties and agreements of each party thereto and customary indemnification rights and obligations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Company entered into a Placement Agency Agreement (the “Placement Agency Agreement”) on March 31, 2026, with Joseph Gunnar &amp; Co., LLC (the “Placement Agent”), as the exclusive placement agent in connection with the Offering. As compensation to the Placement Agent, the Company agreed to pay the Placement Agent (i) a cash fee of 7.5% of the aggregate gross proceeds raised in the Offering and (ii) up to 175,439 placement agent warrants (the “Placement Agent Warrants”) to purchase up to 175,439 shares of Common Stock at an exercise price equal to 125% of the applicable combined public offering price per share of Common Stock and accompanying 1.5 Common Warrants to purchase one share of Common Stock for the applicable Tranche. Upon the Initial Tranche Closing, the Company issued 131,579 Placement Agent Warrants to purchase up to 131,579 shares of Common Stock with an exercise price of $1.425 per share of Common Stock. In connection with the Second Tranche, if any, the Company will issue Placement Agent Warrants representing five percent (5%) of the shares of Common Stock and/or Pre-Funded Warrants in the Second Tranche, or up to 43,860 Placement Agent Warrants to purchase up to 43,860 shares of Common Stock, and such Placement Agent Warrants will have an exercise price (i) equal to 125% of the applicable combined public offering price per share of Common Stock and accompanying 1.5 Common Warrants to purchase one share of Common Stock for the Second Tranche and (ii) in any event of not less than $1.425 per share of Common Stock.</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 the Placement Agency Agreement, the Pre-Funded Warrants, the Common Warrants and the Placement Agent Warrants were made only for purposes of such agreements and as of specific dates, were solely for the benefit of the parties to the Purchase Agreement, the Placement Agency Agreement, the Pre-Funded Warrants, the Common Warrants and the Placement Agent Warrants, respectively, and may be subject to limitations agreed upon by the contracting parties. Accordingly, the Purchase Agreement, the Placement Agency Agreement, the Pre-Funded Warrants, the Common Warrants and the Placement Agent Warrants are incorporated herein by reference only to provide investors with information regarding the terms of the Purchase Agreement, the Placement Agency Agreement, the Pre-Funded Warrants, the Common Warrants and the Placement Agent Warrants, and not to provide investors with any other factual information regarding the Company or its business, and should be read in conjunction with the disclosures in the Company’s periodic reports and other filings with the Securities and Exchange Commission.</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shares of Common Stock, the Pre-Funded Warrants, the Common Warrants and the Placement Agent Warrants described above and the shares of Common Stock underlying the Pre-Funded Warrants, the Common Warrants and the Placement Agent Warrants were offered pursuant to the Registration Statement on Form S-1, as amended (File No. 333-294716), which was declared effective by the Securities and Exchange Commission on March 31, 2026. The Company received net proceeds of approximately $2.5 million from the closing of the Initial Tranche, after deducting the estimated offering expenses payable by the Company, including the Placement Agent fees. The Company intends to use the net proceeds from the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w:t>
      </w:r>
    </w:p>
    <w:p>
      <w:pPr>
        <w:spacing w:after="0" w:line="19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Purchase Agreement, the Placement Agency Agreement, the Pre-Funded Warrant, the Common Warrant and the Placement Agent Warrant do not purport to be complete and are subject to, and qualified in their entirety by, the forms of such documents attached hereto as Exhibits 10.2, 10.1, 4.1, 4.2 and 4.3, respectively, to this Current Report on Form 8-K, which are incorporated by reference.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representations, warranties and covenants contained in the Purchase Agreement, the Placement Agency Agreement, the Pre-Funded Warrants, the Common Warrants and the Placement Agent Warrants were made only for purposes of such agreements and as of specific dates, were solely for the benefit of the parties to the Purchase Agreement, the Placement Agency Agreement, the Pre-Funded Warrants, the Common Warrants and the Placement Agent Warrants, respectively, and may be subject to limitations agreed upon by the contracting parties. Accordingly, the Purchase Agreement, the Placement Agency Agreement, the Pre-Funded Warrants, the Common Warrants and the Placement Agent Warrants are incorporated herein by reference only to provide investors with information regarding the terms of the Purchase Agreement, the Placement Agency Agreement, the Pre-Funded Warrants, the Common Warrants and the Placement Agent Warrants, and not to provide investors with any other factual information regarding the Company or its business, and should be read in conjunction with the disclosures in the Company’s periodic reports and other filings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and per share amounts described in this Item 1.01 are subject to adjustment for stock dividends, subdivisions or combinations and the like.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announcing the pricing of the Offering on April 1, 2026. A copy of the press release is attached hereto as Exhibit 99.1 and is incorporated by reference into this Item 8.01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Number</w:t>
            </w:r>
          </w:p>
        </w:tc>
        <w:tc>
          <w:tcPr>
            <w:tcW w:w="580" w:type="dxa"/>
            <w:vAlign w:val="bottom"/>
          </w:tcPr>
          <w:p>
            <w:pPr>
              <w:spacing w:after="0"/>
              <w:rPr>
                <w:sz w:val="14"/>
                <w:szCs w:val="1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3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8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4"/>
                <w:szCs w:val="24"/>
                <w:color w:val="auto"/>
              </w:rPr>
            </w:pPr>
          </w:p>
        </w:tc>
        <w:tc>
          <w:tcPr>
            <w:tcW w:w="10040" w:type="dxa"/>
            <w:vAlign w:val="bottom"/>
            <w:gridSpan w:val="11"/>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Pre-Funded Warrant (incorporated by reference to Exhibit 4.3 to the Company’s Registration Statement on Form S-1 (File No.</w:t>
              </w:r>
            </w:hyperlink>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333-294716) filed with the Securities and Exchange Commission on March 27, 2026).</w:t>
              </w:r>
            </w:hyperlink>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Common Warrant (incorporated by reference to Exhibit 4.4 to the Company’s Registration Statement on Form S-1 (File No. 333-</w:t>
              </w:r>
            </w:hyperlink>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294716) filed with the Securities and Exchange Commission on March 27, 2026).</w:t>
              </w:r>
            </w:hyperlink>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Placement Agent Warrant (incorporated by reference to Exhibit 4.5 to the Company’s Registration Statement on Form S-1 (File</w:t>
              </w:r>
            </w:hyperlink>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No. 333-294716) filed with the Securities and Exchange Commission on March 27, 2026).</w:t>
              </w:r>
            </w:hyperlink>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Placement Agency Agreement, dated March 31, 2026, between the Company and Joseph Gunnar &amp; Co., LLC (incorporated by reference to</w:t>
              </w:r>
            </w:hyperlink>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Exhibit 1.1 to the Company’s Registration Statement on Form S-1 (File No. 333-294716) filed with the Securities and Exchange</w:t>
              </w:r>
            </w:hyperlink>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Commission on March 27, 2026).</w:t>
              </w:r>
            </w:hyperlink>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Securities Purchase Agreement (incorporated by reference to Exhibit 10.30 to the Company’s Registration Statement on Form S-1</w:t>
              </w:r>
            </w:hyperlink>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(File No. 333-294716) filed with the Securities and Exchange Commission on March 27, 2026).</w:t>
              </w:r>
            </w:hyperlink>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r>
      <w:tr>
        <w:trPr>
          <w:trHeight w:val="196"/>
        </w:trPr>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17"/>
                <w:szCs w:val="17"/>
                <w:color w:val="auto"/>
              </w:rPr>
            </w:pPr>
          </w:p>
        </w:tc>
        <w:tc>
          <w:tcPr>
            <w:tcW w:w="100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April 1, 2026.</w:t>
            </w:r>
          </w:p>
        </w:tc>
      </w:tr>
      <w:tr>
        <w:trPr>
          <w:trHeight w:val="20"/>
        </w:trPr>
        <w:tc>
          <w:tcPr>
            <w:tcW w:w="62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r>
      <w:tr>
        <w:trPr>
          <w:trHeight w:val="1195"/>
        </w:trPr>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VivoSim Labs,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April 3, 2026</w:t>
      </w:r>
      <w:r>
        <w:rPr>
          <w:sz w:val="20"/>
          <w:szCs w:val="20"/>
          <w:color w:val="auto"/>
        </w:rPr>
        <w:tab/>
      </w:r>
      <w:r>
        <w:rPr>
          <w:rFonts w:ascii="Times New Roman" w:cs="Times New Roman" w:eastAsia="Times New Roman" w:hAnsi="Times New Roman"/>
          <w:sz w:val="18"/>
          <w:szCs w:val="18"/>
          <w:color w:val="auto"/>
        </w:rPr>
        <w:t>By:</w:t>
        <w:tab/>
        <w:t>/s/ Norman Staskey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Norman Staskey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654685</wp:posOffset>
            </wp:positionV>
            <wp:extent cx="112268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22680" cy="497205"/>
                    </a:xfrm>
                    <a:prstGeom prst="rect">
                      <a:avLst/>
                    </a:prstGeom>
                    <a:noFill/>
                  </pic:spPr>
                </pic:pic>
              </a:graphicData>
            </a:graphic>
          </wp:anchor>
        </w:drawing>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VivoSim Announces Pricing of up to a $4 Million Public Offering</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SAN DIEGO, April 1, 2026 -- VivoSim Labs, Inc. (Nasdaq: VIVS), (the “Company” or “VivoSim”), a provider of next-generation New Approach Methodologies (NAMs) for preclinical safety, today announced the pricing of up to a $ 4 million best-efforts public offering, with $3 million funded at an initial closing of the offering (the “Initial Closing”) and another $1 million to be funded on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the Initial Closing, subject to the satisfaction of certain conditions (the “Second Closing”). The Initial Closing of the offering is expected to occur on, April 1, 2026, subject to the satisfaction of customary closing conditions.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Initial Closing of the public offering consists of the issuance and sale of $3 million in common stock (or pre-funded warrants in lieu of common stock), at a subscription price of $1.140 per share, and $1.139 per prefunded warrant), representing 286,557 common shares and 2,345,022 pre-funded warrants. Additionally, the Company will issue 3,947,369 common warrants to purchase up to 150% of the aggregate number of shares of common stock (or pre-funded warrants) sold at the Initial Closing. Such common warrants will have an exercise price of $1.710 per share, will be immediately exercisable, and will expire five years from their date of issuance. The prefunded warrants will have an exercise price of $0.001 per prefunded warrant share, will be immediately exercisable, and will expire when exercised in full. The Second Closing will consist of the issuance and sale of an additional $1 million in common stock (or pre-funded warrant in lieu of common stock) and common warrants to purchase up to 150% of the aggregate number of shares of common stock (or pre-funded warrants) sold at the Second Closing. The Second Closing is subject to the satisfaction of certain conditions, including conditions related to minimum closing price and average trading volume. The subscription of the offering is led by a New York-based single family office.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Joseph Gunnar &amp; Co., LLC is serving as the exclusive placement agent in connection with the offering.</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shares of common stock, prefunded warrants, and common warrants are being offered by the Company pursuant to an effective registration statement on Form S-1 (File No. 333-294716), which was initially filed with the U.S. Securities and Exchange Commission (SEC) on March 27, 2026, as amended by Amendment No. 1 to the registration statement on Form S-1 filed with the SEC on March 31, 2026 and declared effective by the SEC on March 31, 2026.</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offering is being made only by means of the prospectus forming part of the registration statement on Form S-1 relating to the offering. A preliminary prospectus relating to this offering has been filed with the SEC, and a final prospectus relating to and describing the final terms of the offering will be filed with the SEC and will be available on the SEC’s website at www.sec.gov.</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Copies of the final prospectus relating to this offering may be obtained, when available, on the SEC’s website at </w:t>
      </w:r>
      <w:r>
        <w:rPr>
          <w:rFonts w:ascii="Arial" w:cs="Arial" w:eastAsia="Arial" w:hAnsi="Arial"/>
          <w:sz w:val="20"/>
          <w:szCs w:val="20"/>
          <w:u w:val="single" w:color="auto"/>
          <w:color w:val="auto"/>
        </w:rPr>
        <w:t>http://www.sec.gov</w:t>
      </w:r>
      <w:r>
        <w:rPr>
          <w:rFonts w:ascii="Arial" w:cs="Arial" w:eastAsia="Arial" w:hAnsi="Arial"/>
          <w:sz w:val="20"/>
          <w:szCs w:val="20"/>
          <w:color w:val="auto"/>
        </w:rPr>
        <w:t xml:space="preserve"> or alternatively, from: Joseph Gunnar &amp; Co., LLC, Attn: Syndicate Department, 40 Wall Street, Suite 3004, New York, NY 10005, or by calling (212) 440-9600.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20"/>
          <w:szCs w:val="20"/>
          <w:color w:val="auto"/>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VivoSim Labs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VivoSim Labs, Inc. (“VivoSim” and the “Company”), is a pharmaceutical and biotechnology services company that is focused on providing testing of drugs and drug candidates in three-dimensional (“3D”) human tissue models of liver and intestine. The Company offers partners liver and intestinal toxicology insights using its new approach methodologies (“NAM”) models. The Company anticipates accelerated adoption of human tissue models following the U.S. Food and Drug Administration (“FDA”) announcement on April 10, 2025 to refine animal testing requirements in favor of these non-animal NAM methods. VivoSim Labs operates from San Diego, CA. Visit www.vivosim.ai.</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Any statements contained in this press release that do not describe historical facts constitute forward-looking statements as that term is defined in the Private Securities Litigation Reform Act of 1995, including statements with respect to the public offering. No assurance can be given that the public offering discussed above will be completed or if the conditions for the additional tranche will be satisfied and the additional tranche will be completed. Any forward-looking statements contained herein are based on current expectations but are subject to a number of risks and uncertainties, including, but not limited to, those risks and uncertainties related to market and other conditions, satisfaction of customary closing conditions related to the public offering and satisfaction of closing conditions related to the additional tranche. These risks and uncertainties and other factors are identified and described in more detail in the Company’s filings with the SEC, including its Annual Report on Form 10-K filed with the SEC on June 5, 2025, as such risk factors are updated in the Registration Statement on Form S-1, as amended (File No. 333-294716) and its most recently filed Quarterly Report on Form 10-Q filed with the SEC on February 11, 2026. You should not place undue reliance on these forward-looking statements, which speak only as of the date that they were made. These cautionary statements should be considered with any written or oral forward-looking statements that the Company may issue in the future. Except as required by applicable law, including the securities laws of the United States, the Company does not intend to update any of the forward-looking statements to conform these statements to reflect actual results, later events, or circumstances or to reflect the occurrence of unanticipated events.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u w:val="single" w:color="auto"/>
          <w:color w:val="auto"/>
        </w:rPr>
        <w:t>info@vivosim.ai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VivoSim Labs,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png"/><Relationship Id="rId20" Type="http://schemas.openxmlformats.org/officeDocument/2006/relationships/hyperlink" Target="https://www.sec.gov/Archives/edgar/data/1497253/000121390026035742/ea028377701ex4-3.htm" TargetMode="External"/><Relationship Id="rId21" Type="http://schemas.openxmlformats.org/officeDocument/2006/relationships/hyperlink" Target="https://www.sec.gov/Archives/edgar/data/1497253/000121390026035742/ea028377701ex4-4.htm" TargetMode="External"/><Relationship Id="rId22" Type="http://schemas.openxmlformats.org/officeDocument/2006/relationships/hyperlink" Target="https://www.sec.gov/Archives/edgar/data/1497253/000121390026035742/ea028377701ex4-5.htm" TargetMode="External"/><Relationship Id="rId23" Type="http://schemas.openxmlformats.org/officeDocument/2006/relationships/hyperlink" Target="https://www.sec.gov/Archives/edgar/data/1497253/000121390026035742/ea028377701ex1-1.htm" TargetMode="External"/><Relationship Id="rId24" Type="http://schemas.openxmlformats.org/officeDocument/2006/relationships/hyperlink" Target="https://www.sec.gov/Archives/edgar/data/1497253/000121390026035742/ea028377701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2026-04-03T15:09:07Z</dcterms:created>
  <dcterms:modified xsi:type="dcterms:W3CDTF">2026-04-03T15:09:07Z</dcterms:modified>
</cp:coreProperties>
</file>