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0" w:name="filename1.htm"/>
      <w:bookmarkStart w:id="1" w:name="ksfilename1"/>
      <w:bookmarkEnd w:id="0"/>
      <w:bookmarkEnd w:id="1"/>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20549-1004</w:t>
      </w:r>
    </w:p>
    <w:p>
      <w:pPr>
        <w:pStyle w:val="TextBody"/>
        <w:bidi w:val="0"/>
        <w:spacing w:before="0" w:after="0"/>
        <w:ind w:left="0" w:right="0" w:hanging="0"/>
        <w:jc w:val="left"/>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35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1895" w:type="dxa"/>
            <w:tcBorders/>
            <w:vAlign w:val="center"/>
          </w:tcPr>
          <w:p>
            <w:pPr>
              <w:pStyle w:val="TableContents"/>
              <w:bidi w:val="0"/>
              <w:spacing w:before="0" w:after="283"/>
              <w:jc w:val="both"/>
              <w:rPr/>
            </w:pPr>
            <w:r>
              <w:rPr/>
              <w:t>VivoSim Labs, Inc.</w:t>
            </w:r>
          </w:p>
        </w:tc>
      </w:tr>
    </w:tbl>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on Form S-1, as amended</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 333-294716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1" w:right="0" w:hanging="24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placement agent of the proposed offering of </w:t>
      </w:r>
      <w:r>
        <w:rPr>
          <w:rFonts w:ascii="Times New Roman;Times;Serif" w:hAnsi="Times New Roman;Times;Serif"/>
          <w:b w:val="false"/>
          <w:i w:val="false"/>
          <w:caps w:val="false"/>
          <w:smallCaps w:val="false"/>
          <w:sz w:val="20"/>
          <w:shd w:fill="FFFFFF" w:val="clear"/>
        </w:rPr>
        <w:t xml:space="preserve">VivoSim Labs, Inc. </w:t>
      </w:r>
      <w:r>
        <w:rPr>
          <w:rFonts w:ascii="Times New Roman;Times;Serif" w:hAnsi="Times New Roman;Times;Serif"/>
          <w:b w:val="false"/>
          <w:i w:val="false"/>
          <w:caps w:val="false"/>
          <w:smallCaps w:val="false"/>
          <w:sz w:val="20"/>
        </w:rPr>
        <w:t>(the “Company”), we hereby join the Company’s request for acceleration of the above-referenced Registration Statement, requesting effectiveness for 4:00 p.m., Eastern Time, on Tuesday, March 31, 2026, or as soon thereafter as is practicable.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460 of the General Rules and Regulations of the U.S. Securities and Exchange Commission under the Securities Act of 1933, as amended, we wish to advise you that, through March 31, 2026, we distributed to each dealer, who is reasonably anticipated to be invited to participate in the distribution of the security, as many copies, as well as “E-red” copies of the Preliminary Prospectus dated March 31, 2026, as appears to be reasonable to secure adequate distribution of the preliminary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advise that they have complied and will continue to comply with Rule 15c2-8 under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tbl>
      <w:tblPr>
        <w:tblW w:w="2434" w:type="dxa"/>
        <w:jc w:val="left"/>
        <w:tblInd w:w="0" w:type="dxa"/>
        <w:tblLayout w:type="fixed"/>
        <w:tblCellMar>
          <w:top w:w="0" w:type="dxa"/>
          <w:left w:w="0" w:type="dxa"/>
          <w:bottom w:w="0" w:type="dxa"/>
          <w:right w:w="0" w:type="dxa"/>
        </w:tblCellMar>
      </w:tblPr>
      <w:tblGrid>
        <w:gridCol w:w="75"/>
        <w:gridCol w:w="329"/>
        <w:gridCol w:w="606"/>
        <w:gridCol w:w="1424"/>
      </w:tblGrid>
      <w:tr>
        <w:trPr/>
        <w:tc>
          <w:tcPr>
            <w:tcW w:w="75" w:type="dxa"/>
            <w:tcBorders/>
            <w:vAlign w:val="center"/>
          </w:tcPr>
          <w:p>
            <w:pPr>
              <w:pStyle w:val="TableContents"/>
              <w:bidi w:val="0"/>
              <w:spacing w:before="0" w:after="283"/>
              <w:jc w:val="left"/>
              <w:rPr/>
            </w:pPr>
            <w:r>
              <w:rPr/>
              <w:t> </w:t>
            </w:r>
          </w:p>
        </w:tc>
        <w:tc>
          <w:tcPr>
            <w:tcW w:w="2359" w:type="dxa"/>
            <w:gridSpan w:val="3"/>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23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59" w:type="dxa"/>
            <w:gridSpan w:val="3"/>
            <w:tcBorders/>
            <w:vAlign w:val="center"/>
          </w:tcPr>
          <w:p>
            <w:pPr>
              <w:pStyle w:val="TableContents"/>
              <w:bidi w:val="0"/>
              <w:spacing w:before="0" w:after="283"/>
              <w:jc w:val="left"/>
              <w:rPr>
                <w:b/>
                <w:sz w:val="20"/>
              </w:rPr>
            </w:pPr>
            <w:r>
              <w:rPr>
                <w:b/>
                <w:sz w:val="20"/>
              </w:rPr>
              <w:t>Joseph Gunnar &amp; Co., LLC</w:t>
            </w:r>
          </w:p>
        </w:tc>
      </w:tr>
      <w:tr>
        <w:trPr/>
        <w:tc>
          <w:tcPr>
            <w:tcW w:w="75" w:type="dxa"/>
            <w:tcBorders/>
            <w:vAlign w:val="center"/>
          </w:tcPr>
          <w:p>
            <w:pPr>
              <w:pStyle w:val="TableContents"/>
              <w:bidi w:val="0"/>
              <w:spacing w:before="0" w:after="283"/>
              <w:jc w:val="left"/>
              <w:rPr/>
            </w:pPr>
            <w:r>
              <w:rPr/>
              <w:t> </w:t>
            </w:r>
          </w:p>
        </w:tc>
        <w:tc>
          <w:tcPr>
            <w:tcW w:w="23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sz w:val="20"/>
              </w:rPr>
            </w:pPr>
            <w:r>
              <w:rPr>
                <w:sz w:val="20"/>
              </w:rPr>
              <w:t>By:</w:t>
            </w:r>
          </w:p>
        </w:tc>
        <w:tc>
          <w:tcPr>
            <w:tcW w:w="2030" w:type="dxa"/>
            <w:gridSpan w:val="2"/>
            <w:tcBorders>
              <w:bottom w:val="single" w:sz="12" w:space="0" w:color="000000"/>
            </w:tcBorders>
            <w:tcMar>
              <w:bottom w:w="28" w:type="dxa"/>
            </w:tcMar>
            <w:vAlign w:val="center"/>
          </w:tcPr>
          <w:p>
            <w:pPr>
              <w:pStyle w:val="TableContents"/>
              <w:bidi w:val="0"/>
              <w:spacing w:before="0" w:after="283"/>
              <w:jc w:val="left"/>
              <w:rPr/>
            </w:pPr>
            <w:r>
              <w:rPr/>
              <w:t>/</w:t>
            </w:r>
            <w:r>
              <w:rPr>
                <w:sz w:val="20"/>
              </w:rPr>
              <w:t>s/ Stephan A. Stein </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sz w:val="20"/>
              </w:rPr>
            </w:pPr>
            <w:r>
              <w:rPr>
                <w:sz w:val="20"/>
              </w:rPr>
              <w:t>Name: </w:t>
            </w:r>
          </w:p>
        </w:tc>
        <w:tc>
          <w:tcPr>
            <w:tcW w:w="1424" w:type="dxa"/>
            <w:tcBorders/>
            <w:vAlign w:val="center"/>
          </w:tcPr>
          <w:p>
            <w:pPr>
              <w:pStyle w:val="TableContents"/>
              <w:bidi w:val="0"/>
              <w:spacing w:before="0" w:after="283"/>
              <w:jc w:val="left"/>
              <w:rPr>
                <w:sz w:val="20"/>
              </w:rPr>
            </w:pPr>
            <w:r>
              <w:rPr>
                <w:sz w:val="20"/>
              </w:rPr>
              <w:t>Stephan A. Stein</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Title:</w:t>
            </w:r>
          </w:p>
        </w:tc>
        <w:tc>
          <w:tcPr>
            <w:tcW w:w="1424" w:type="dxa"/>
            <w:tcBorders/>
            <w:vAlign w:val="center"/>
          </w:tcPr>
          <w:p>
            <w:pPr>
              <w:pStyle w:val="TableContents"/>
              <w:bidi w:val="0"/>
              <w:spacing w:before="0" w:after="283"/>
              <w:jc w:val="left"/>
              <w:rPr/>
            </w:pPr>
            <w:r>
              <w:rPr/>
              <w:t>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211</Words>
  <Characters>1127</Characters>
  <CharactersWithSpaces>1339</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